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B52C93" w:rsidRPr="00B52C93" w:rsidTr="00B52C93">
        <w:trPr>
          <w:trHeight w:val="2494"/>
        </w:trPr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B52C93" w:rsidRPr="00B52C93" w:rsidRDefault="00B52C93" w:rsidP="00B52C9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B52C93" w:rsidRPr="00B52C93" w:rsidRDefault="00B52C93" w:rsidP="00B52C9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</w:pP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t>МЕТОДИЧЕСКИЕ</w:t>
            </w: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br/>
              <w:t>УКАЗАНИЯ</w:t>
            </w: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</w:pPr>
            <w:r w:rsidRPr="00B52C93">
              <w:rPr>
                <w:rFonts w:ascii="Times New Roman" w:eastAsia="Calibri" w:hAnsi="Times New Roman" w:cs="Times New Roman"/>
                <w:b/>
                <w:spacing w:val="60"/>
                <w:w w:val="80"/>
                <w:sz w:val="36"/>
                <w:szCs w:val="36"/>
              </w:rPr>
              <w:t>ПО ПРОВЕДЕНИЮ ПРАКТИЧЕСКИХ ЗАНЯТИЙ</w:t>
            </w: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sz w:val="28"/>
                <w:szCs w:val="28"/>
              </w:rPr>
              <w:t>по дисциплине (модулю)</w:t>
            </w: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Б1.В.ДВ.1</w:t>
            </w:r>
            <w:r w:rsidR="00405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Pr="00B52C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«Мелиоративное почвоведение»</w:t>
            </w:r>
          </w:p>
        </w:tc>
      </w:tr>
      <w:tr w:rsidR="00B52C93" w:rsidRPr="00B52C93" w:rsidTr="00B52C93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B52C93" w:rsidRPr="00B52C93" w:rsidTr="0073613F">
              <w:trPr>
                <w:jc w:val="center"/>
              </w:trPr>
              <w:tc>
                <w:tcPr>
                  <w:tcW w:w="8029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8029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0"/>
                      <w:szCs w:val="20"/>
                    </w:rPr>
                  </w:pPr>
                </w:p>
              </w:tc>
            </w:tr>
          </w:tbl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06.06.01 – Биологические науки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Наименование профиля / </w:t>
                  </w:r>
                  <w:r w:rsidRPr="00B52C93">
                    <w:rPr>
                      <w:rFonts w:ascii="Times New Roman" w:eastAsia="Calibri" w:hAnsi="Times New Roman" w:cs="Courier New"/>
                      <w:bCs/>
                      <w:color w:val="000000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Почвоведение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Исследователь. Преподаватель-исследователь</w:t>
                  </w:r>
                </w:p>
              </w:tc>
            </w:tr>
            <w:tr w:rsidR="00B52C93" w:rsidRPr="00B52C93" w:rsidTr="0073613F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Агрохимии и                    почвоведения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Почвоведения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Слюсарев </w:t>
                  </w:r>
                </w:p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B52C93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Валерий Никифорович</w:t>
                  </w:r>
                </w:p>
              </w:tc>
            </w:tr>
            <w:tr w:rsidR="00B52C93" w:rsidRPr="00B52C93" w:rsidTr="0073613F">
              <w:trPr>
                <w:jc w:val="center"/>
              </w:trPr>
              <w:tc>
                <w:tcPr>
                  <w:tcW w:w="4940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B52C93" w:rsidRPr="00B52C93" w:rsidRDefault="00B52C93" w:rsidP="00B52C93">
                  <w:pPr>
                    <w:framePr w:hSpace="180" w:wrap="around" w:vAnchor="text" w:hAnchor="margin" w:y="5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52C93" w:rsidRPr="00B52C93" w:rsidRDefault="00B52C93" w:rsidP="00B52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C93" w:rsidRPr="00B52C93" w:rsidTr="00B52C93">
        <w:trPr>
          <w:trHeight w:val="66"/>
        </w:trPr>
        <w:tc>
          <w:tcPr>
            <w:tcW w:w="5000" w:type="pct"/>
          </w:tcPr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52C93" w:rsidRPr="00B52C93" w:rsidRDefault="00B52C93" w:rsidP="00B52C93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Краснодар 2015</w:t>
            </w:r>
          </w:p>
        </w:tc>
      </w:tr>
    </w:tbl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E6E" w:rsidRDefault="00972E6E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Слюсарев, В.И. Терпелец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Швец Т.В.</w:t>
      </w:r>
    </w:p>
    <w:p w:rsidR="00B52C93" w:rsidRPr="00B52C93" w:rsidRDefault="00B52C93" w:rsidP="00B52C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Методические указания по проведению  практических занятий по дисциплине «Мелиоративное почвоведение»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аспирантов по направлению 06.06.01 «Биологические науки», профиль «Почвоведение» / сост.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 Слюсарев, В.И. Терпелец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Т.В. Швец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36F1">
        <w:rPr>
          <w:rFonts w:ascii="Times New Roman" w:eastAsia="Times New Roman" w:hAnsi="Times New Roman" w:cs="Times New Roman"/>
          <w:sz w:val="28"/>
          <w:szCs w:val="20"/>
          <w:lang w:eastAsia="ru-RU"/>
        </w:rPr>
        <w:t>–  Краснодар: КубГАУ, 2014. – 26</w:t>
      </w:r>
      <w:r w:rsidRPr="00B52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B52C93" w:rsidRPr="00B52C93" w:rsidRDefault="00B52C93" w:rsidP="00B5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Default="00B52C93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методические указания по проведению прак</w:t>
      </w:r>
      <w:r w:rsidR="000C7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дисциплине, направленной на подготовку к сдаче кандидатского экзамена по профилю «Почвоведение».</w:t>
      </w:r>
      <w:r w:rsidR="00CC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A69" w:rsidRPr="00CC6A69" w:rsidRDefault="00CC6A69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6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указания по проведению  практических занятий по дисциплине «Мелиоративное почвоведение»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предусматривают обязательное использование методических указаний для самостоятельной работы по данной дисциплине.</w:t>
      </w:r>
    </w:p>
    <w:p w:rsidR="00B52C93" w:rsidRPr="00B52C93" w:rsidRDefault="00B52C93" w:rsidP="00B52C9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предназначены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аспирантов по направлению 06.06.01 «Биологические науки», профиль «Почвоведение». </w:t>
      </w: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одобрено методической комиссией факультетов агрохимии и почвоведения, защиты растений Кубанского госагроуниверситета, протокол № 3  от 24.11.2014 г.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                                                                В.И. Терпелец</w:t>
      </w:r>
    </w:p>
    <w:p w:rsidR="00B52C93" w:rsidRPr="00B52C93" w:rsidRDefault="00B52C93" w:rsidP="00B5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6E" w:rsidRPr="00B52C93" w:rsidRDefault="00972E6E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© Слюсарев В.Н., Терпелец В.И.,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Швец Т.В.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2014</w:t>
      </w:r>
    </w:p>
    <w:p w:rsidR="00B52C93" w:rsidRPr="00B52C93" w:rsidRDefault="00B52C93" w:rsidP="00B5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6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© ФГБОУ ВПО «Кубанский государственный</w:t>
      </w: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аграрный университет», 2014</w:t>
      </w: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Pr="00B52C93" w:rsidRDefault="00B52C93" w:rsidP="00B52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93" w:rsidRDefault="00B52C93"/>
    <w:p w:rsidR="00CC6A69" w:rsidRDefault="00CC6A69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69" w:rsidRDefault="00CC6A69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C93" w:rsidRDefault="00B52C93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3540" w:rsidRDefault="004A3540" w:rsidP="0073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3F" w:rsidRDefault="0073613F" w:rsidP="004A3540">
      <w:pPr>
        <w:spacing w:after="0" w:line="60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1.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ОПРЕДЕЛЕНИЕ ПОТРЕБНОСТИ ПОЧВ В ИЗВЕСТКОВАНИИ И ВЫЧИСЛЕНИЕ ДОЗ ИЗВЕСТИ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...................................................................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 xml:space="preserve">  4</w:t>
      </w:r>
    </w:p>
    <w:p w:rsidR="0073613F" w:rsidRPr="0073613F" w:rsidRDefault="0073613F" w:rsidP="004A3540">
      <w:pPr>
        <w:spacing w:after="0" w:line="60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2.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ОПРЕДЕЛЕНИЕ СТЕПЕНИ СОЛОНЦЕВАТОСТИ ПОЧВ </w:t>
      </w:r>
    </w:p>
    <w:p w:rsidR="0073613F" w:rsidRDefault="0073613F" w:rsidP="004A3540">
      <w:pPr>
        <w:spacing w:after="0" w:line="60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 РАСЧЕТ ДОЗ ГИПСА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.................................................................................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>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....</w:t>
      </w:r>
      <w:r w:rsidR="004A354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</w:p>
    <w:p w:rsidR="0073613F" w:rsidRDefault="0073613F" w:rsidP="004A3540">
      <w:pPr>
        <w:spacing w:after="0" w:line="60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3. 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ПРОМЫВКА ЗАСОЛЕННЫХ ЗЕМЕЛЬ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</w:t>
      </w:r>
      <w:r w:rsidR="004A354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8436F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="004A354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73613F" w:rsidRP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4.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 ПРИГОДНОСТИ  МИНЕРАЛИЗОВАННОЙ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ВОДЫ ДЛЯ ОРОШЕНИЯ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</w:t>
      </w:r>
      <w:r w:rsidR="004A354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8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5.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ОРОСИТЕЛЬНЫХ И ПОЛИВНЫХ НОРМ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</w:t>
      </w:r>
      <w:r w:rsidR="004A354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11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6.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ДИАГНОСТИКА СРОКОВ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ПОЛИВА 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...13</w:t>
      </w:r>
    </w:p>
    <w:p w:rsidR="0073613F" w:rsidRDefault="0073613F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7.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ОПРЕДЕЛЕНИЕ КАЧЕСТВА ОРОСИТЕЛЬНОЙ ВОДЫ</w:t>
      </w:r>
      <w:r w:rsidR="004A354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="008436F1">
        <w:rPr>
          <w:rFonts w:ascii="Times New Roman" w:eastAsia="Times New Roman" w:hAnsi="Times New Roman"/>
          <w:color w:val="000000"/>
          <w:sz w:val="28"/>
          <w:lang w:eastAsia="ru-RU"/>
        </w:rPr>
        <w:t>....................</w:t>
      </w:r>
    </w:p>
    <w:p w:rsid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8.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ДИАГНОСТИКА СРОКОВ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ПОЛИВА СЕЛЬСКОХОЗЯЙСТВЕННЫХ КУЛЬТУР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........................................................................................................</w:t>
      </w:r>
      <w:r w:rsidR="008436F1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...17</w:t>
      </w:r>
    </w:p>
    <w:p w:rsid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9.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ПОЧВЕННО-АГРОЭКОЛОГ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ИЧЕСКОЕ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РАЙОНИРОВАНИЕ </w:t>
      </w:r>
    </w:p>
    <w:p w:rsidR="004A3540" w:rsidRPr="004A3540" w:rsidRDefault="004A3540" w:rsidP="004A3540">
      <w:pPr>
        <w:shd w:val="clear" w:color="auto" w:fill="FFFFFF"/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СЕЛЬСКОХОЗЯЙСТВЕННЫХ ЗЕМЕЛЬ РОССИИ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....................................</w:t>
      </w:r>
      <w:r w:rsidR="008436F1">
        <w:rPr>
          <w:rFonts w:ascii="Times New Roman" w:eastAsiaTheme="minorEastAsia" w:hAnsi="Times New Roman"/>
          <w:sz w:val="28"/>
          <w:szCs w:val="28"/>
          <w:lang w:eastAsia="ru-RU"/>
        </w:rPr>
        <w:t>...19</w:t>
      </w:r>
    </w:p>
    <w:p w:rsidR="0073613F" w:rsidRPr="0073613F" w:rsidRDefault="0073613F" w:rsidP="0073613F">
      <w:pPr>
        <w:spacing w:before="480" w:after="48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lastRenderedPageBreak/>
        <w:t xml:space="preserve">РАБОТА 1.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ОПРЕДЕЛЕНИЕ ПОТРЕБНОСТИ ПОЧВ В ИЗВЕСТКОВАНИИ И ВЫЧИСЛЕНИЕ ДОЗ ИЗВЕСТИ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Нуждаемость почвы в известковании определяют, учитывая следующие показатели: рН солевой вытяжки, степень насыщенности основаниями, гранулометрический состав, чувствительность возделываемых растений к кислотности.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В первом приближении потребность почв в известковании можно установить по рН солевой вытяжки (</w:t>
      </w:r>
      <w:r w:rsidRPr="0073613F">
        <w:rPr>
          <w:rFonts w:ascii="Times New Roman" w:eastAsiaTheme="minorEastAsia" w:hAnsi="Times New Roman"/>
          <w:sz w:val="24"/>
          <w:szCs w:val="24"/>
          <w:lang w:eastAsia="ru-RU"/>
        </w:rPr>
        <w:t>КС1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), руководствуясь следующими данными:</w:t>
      </w:r>
    </w:p>
    <w:p w:rsidR="0073613F" w:rsidRPr="0073613F" w:rsidRDefault="0073613F" w:rsidP="0073613F">
      <w:pPr>
        <w:widowControl w:val="0"/>
        <w:spacing w:before="240"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сильно нуждается в известковании, рН &lt; 4,5 ;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средне нуждается в известковании, рН 4,5 – 5,0 ;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III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слабо нуждается в известковании, рН 5,1 – 5,5 ;</w:t>
      </w:r>
    </w:p>
    <w:p w:rsidR="0073613F" w:rsidRPr="0073613F" w:rsidRDefault="0073613F" w:rsidP="0073613F">
      <w:pPr>
        <w:widowControl w:val="0"/>
        <w:spacing w:after="240" w:line="240" w:lineRule="auto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IV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почва не нуждается в известковании, рН &gt; 5,5.</w:t>
      </w:r>
    </w:p>
    <w:p w:rsidR="0073613F" w:rsidRPr="0073613F" w:rsidRDefault="0073613F" w:rsidP="0073613F">
      <w:pPr>
        <w:widowControl w:val="0"/>
        <w:spacing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Для суждения о необходимости известкования минеральных и торфяных почв с учетом их рН, степени насыщенности основаниями и гранулометрического состава можно руководствоваться следующими нормативами:</w:t>
      </w:r>
    </w:p>
    <w:p w:rsidR="0073613F" w:rsidRPr="0073613F" w:rsidRDefault="0073613F" w:rsidP="0073613F">
      <w:pPr>
        <w:widowControl w:val="0"/>
        <w:spacing w:after="0" w:line="240" w:lineRule="auto"/>
        <w:ind w:left="1701" w:hanging="1701"/>
        <w:jc w:val="both"/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  <w:t xml:space="preserve">Таблица    – </w:t>
      </w:r>
      <w:r w:rsidRPr="0073613F">
        <w:rPr>
          <w:rFonts w:ascii="Times New Roman" w:eastAsiaTheme="minorEastAsia" w:hAnsi="Times New Roman"/>
          <w:spacing w:val="-14"/>
          <w:sz w:val="28"/>
          <w:szCs w:val="28"/>
          <w:lang w:eastAsia="ru-RU"/>
        </w:rPr>
        <w:tab/>
        <w:t>Нуждаемость почвы в известковании в зависимости от ее свойств (М. Ф. Корнилов, 1965)</w:t>
      </w:r>
    </w:p>
    <w:tbl>
      <w:tblPr>
        <w:tblW w:w="9445" w:type="dxa"/>
        <w:jc w:val="center"/>
        <w:tblInd w:w="-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7"/>
        <w:gridCol w:w="771"/>
        <w:gridCol w:w="708"/>
        <w:gridCol w:w="993"/>
        <w:gridCol w:w="850"/>
        <w:gridCol w:w="851"/>
        <w:gridCol w:w="850"/>
        <w:gridCol w:w="851"/>
        <w:gridCol w:w="864"/>
      </w:tblGrid>
      <w:tr w:rsidR="0073613F" w:rsidRPr="0073613F" w:rsidTr="0073613F">
        <w:trPr>
          <w:cantSplit/>
          <w:jc w:val="center"/>
        </w:trPr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Почвы по гранулометрическому </w:t>
            </w:r>
          </w:p>
          <w:p w:rsidR="0073613F" w:rsidRPr="0073613F" w:rsidRDefault="0073613F" w:rsidP="0073613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ru-RU"/>
              </w:rPr>
              <w:t>составу</w:t>
            </w:r>
          </w:p>
        </w:tc>
        <w:tc>
          <w:tcPr>
            <w:tcW w:w="67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100" w:afterAutospacing="1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Нуждаемость в известковании</w:t>
            </w:r>
          </w:p>
        </w:tc>
      </w:tr>
      <w:tr w:rsidR="0073613F" w:rsidRPr="0073613F" w:rsidTr="0073613F">
        <w:trPr>
          <w:cantSplit/>
          <w:trHeight w:val="346"/>
          <w:jc w:val="center"/>
        </w:trPr>
        <w:tc>
          <w:tcPr>
            <w:tcW w:w="27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keepNext/>
              <w:keepLines/>
              <w:spacing w:after="100" w:afterAutospacing="1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3613F" w:rsidRPr="0073613F" w:rsidTr="0073613F">
        <w:trPr>
          <w:cantSplit/>
          <w:jc w:val="center"/>
        </w:trPr>
        <w:tc>
          <w:tcPr>
            <w:tcW w:w="2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V,%</w:t>
            </w:r>
          </w:p>
        </w:tc>
      </w:tr>
      <w:tr w:rsidR="0073613F" w:rsidRPr="0073613F" w:rsidTr="0073613F">
        <w:trPr>
          <w:trHeight w:val="512"/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Тяжело- и среднесуглинистые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65–75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75</w:t>
            </w:r>
          </w:p>
        </w:tc>
      </w:tr>
      <w:tr w:rsidR="0073613F" w:rsidRPr="0073613F" w:rsidTr="0073613F">
        <w:trPr>
          <w:trHeight w:val="438"/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Легкосуглинистые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60–70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70</w:t>
            </w:r>
          </w:p>
        </w:tc>
      </w:tr>
      <w:tr w:rsidR="0073613F" w:rsidRPr="0073613F" w:rsidTr="0073613F">
        <w:trPr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Супесчаные и </w:t>
            </w:r>
          </w:p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песчаные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4,5–5,0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35–40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5,0–5,5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60</w:t>
            </w:r>
          </w:p>
        </w:tc>
      </w:tr>
      <w:tr w:rsidR="0073613F" w:rsidRPr="0073613F" w:rsidTr="0073613F">
        <w:trPr>
          <w:jc w:val="center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Торфяные и </w:t>
            </w:r>
          </w:p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61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торфяно-болотные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&lt; 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3,5–4,2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35–55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4,2–4,8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55–60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4,8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&gt; 65</w:t>
            </w:r>
          </w:p>
        </w:tc>
      </w:tr>
    </w:tbl>
    <w:p w:rsidR="0073613F" w:rsidRPr="0073613F" w:rsidRDefault="0073613F" w:rsidP="0073613F">
      <w:pPr>
        <w:widowControl w:val="0"/>
        <w:spacing w:before="240"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Доза извести, необходимая для оптимизации реакции среды устанавливается по величине гидролитической кислотности в т/га. Кроме этого необходимо знать мощность пахотного слоя и его плотность.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Пусть мощность пахотного слоя (Н) равна 20 см, его плотность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– 1,35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, гидролитическая кислотность (Н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) 4,0 мг-экв на 100 г почвы. Так как известь перемешивается со всем пахотным слоем, то необходимо знать сколько в нем содержится ионов водорода на площади 1 га. Сначала находят массу пахотного слоя для этой площади, которую вычисляют по формуле:     </w:t>
      </w: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m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(т) = </w:t>
      </w: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b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100.</w:t>
      </w:r>
    </w:p>
    <w:p w:rsidR="0073613F" w:rsidRPr="0073613F" w:rsidRDefault="0073613F" w:rsidP="0073613F">
      <w:pPr>
        <w:spacing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нашем случае вес пахотного слоя будет равен: </w:t>
      </w:r>
    </w:p>
    <w:p w:rsidR="0073613F" w:rsidRPr="0073613F" w:rsidRDefault="0073613F" w:rsidP="0073613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lastRenderedPageBreak/>
        <w:t>m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= 1,35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 </w:t>
      </w: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100 = 2700 т.</w:t>
      </w:r>
    </w:p>
    <w:p w:rsidR="0073613F" w:rsidRPr="0073613F" w:rsidRDefault="0073613F" w:rsidP="0073613F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Необходимо определить количество содержащихся в нем ионов Н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. Поскольку в 100 г почвы содержание водорода 4,0 мг-экв или 4 мг, то в 1 кг почвы будут содержаться 40 мг или 0,04 г водорода, а во всем пахотном слое 1 га – 0,04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2700000 = 108000 г, или 108 кг обменного водорода.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На нейтрализацию 1 кг водорода требуется 50 кг извести, что вытекает из уравнения химической реакции:</w:t>
      </w:r>
      <w:r w:rsidRPr="0073613F">
        <w:rPr>
          <w:rFonts w:ascii="Times New Roman" w:eastAsiaTheme="minorEastAsia" w:hAnsi="Times New Roman"/>
          <w:position w:val="-10"/>
          <w:sz w:val="28"/>
          <w:szCs w:val="28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1pt" o:ole="" fillcolor="window">
            <v:imagedata r:id="rId7" o:title=""/>
          </v:shape>
          <o:OLEObject Type="Embed" ProgID="Equation.3" ShapeID="_x0000_i1025" DrawAspect="Content" ObjectID="_1501319831" r:id="rId8"/>
        </w:objec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2 Н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+  СаСО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=  Са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2+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+  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  +  СО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Следовательно, доза извести составляет: 108 · 50 = 5400 кг, или 5,4 т/га.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Известковые материалы могут содержать инертные примеси и иметь повышенную влажность, что необходимо учитывать при установлении дозы извести.  Окончательная формула для расчета имеет следующий вид: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Д=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г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eastAsia="ru-RU"/>
                    </w:rPr>
                    <m:t>v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×h×500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(100-W)×DB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где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доза извести, т/га;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гидролитическая кислотность, мг–экв/100 г почвы;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плотность почвы,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мощность слоя, см;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W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влажность мелиоранта, %; 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DB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содержание действующего вещества в мелиоранте, %.</w:t>
      </w:r>
    </w:p>
    <w:p w:rsidR="0073613F" w:rsidRPr="0073613F" w:rsidRDefault="0073613F" w:rsidP="0073613F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  <w:lang w:eastAsia="ru-RU"/>
        </w:rPr>
      </w:pPr>
    </w:p>
    <w:p w:rsidR="0073613F" w:rsidRPr="0073613F" w:rsidRDefault="0073613F" w:rsidP="007361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№1:</w:t>
      </w:r>
    </w:p>
    <w:p w:rsidR="0073613F" w:rsidRPr="0073613F" w:rsidRDefault="0073613F" w:rsidP="0073613F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данным 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приложения 12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необходимо:</w:t>
      </w:r>
    </w:p>
    <w:p w:rsidR="0073613F" w:rsidRPr="0073613F" w:rsidRDefault="0073613F" w:rsidP="0073613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Дать агрономическую оценку физико-химическим свойствам почвы.</w:t>
      </w:r>
    </w:p>
    <w:p w:rsidR="0073613F" w:rsidRPr="0073613F" w:rsidRDefault="0073613F" w:rsidP="0073613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Определить потребность почвы в химической мелиорации и если необходимо рассчитать дозу мелиоранта.</w:t>
      </w:r>
    </w:p>
    <w:p w:rsidR="0073613F" w:rsidRPr="0073613F" w:rsidRDefault="0073613F" w:rsidP="0073613F">
      <w:pPr>
        <w:spacing w:before="480"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РАБОТА 2.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ОПРЕДЕЛЕНИЕ СТЕПЕНИ СОЛОНЦЕВАТОСТИ ПОЧВ </w:t>
      </w:r>
    </w:p>
    <w:p w:rsidR="0073613F" w:rsidRPr="0073613F" w:rsidRDefault="0073613F" w:rsidP="0073613F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И РАСЧЕТ ДОЗ ГИПСА</w:t>
      </w:r>
    </w:p>
    <w:p w:rsidR="0073613F" w:rsidRPr="0073613F" w:rsidRDefault="0073613F" w:rsidP="0073613F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3613F" w:rsidRPr="0073613F" w:rsidRDefault="0073613F" w:rsidP="0073613F">
      <w:pPr>
        <w:spacing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Почвы насыщенные основаниями могут содержать избыточное количество обменного натрия, отрицательно влияющего на их плодородие. Степень солонцеватости почв устанавливается по формуле: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Na×100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E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А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степень солонцеватости, % от емкости обмена; 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обменного натрия, мг–экв на 100 г почвы; </w:t>
      </w:r>
    </w:p>
    <w:p w:rsidR="0073613F" w:rsidRPr="0073613F" w:rsidRDefault="0073613F" w:rsidP="0073613F">
      <w:p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Е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емкость обмена, мг–экв на 100 г почвы.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По степени солонцеватости различают: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несолонцеватые почвы, содержащие менее 3 % поглощенного натрия от емкости катионного обмена;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слабосолонцеватые – 3–5 %;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среднесолонцеватые – 5–10 %;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сильносолонцеватые – 10–15 %.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Солонцы по содержанию обменного натрия в горизонте В</w:t>
      </w:r>
      <w:r w:rsidRPr="0073613F">
        <w:rPr>
          <w:rFonts w:ascii="Times New Roman" w:eastAsiaTheme="minorEastAsia" w:hAnsi="Times New Roman"/>
          <w:b/>
          <w:sz w:val="28"/>
          <w:szCs w:val="28"/>
          <w:vertAlign w:val="subscript"/>
          <w:lang w:eastAsia="ru-RU"/>
        </w:rPr>
        <w:t>1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: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малонатриевые – 10–20 %;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средненатриевые – 20–40 %; </w:t>
      </w:r>
    </w:p>
    <w:p w:rsidR="0073613F" w:rsidRPr="0073613F" w:rsidRDefault="0073613F" w:rsidP="0073613F">
      <w:pPr>
        <w:spacing w:after="0" w:line="240" w:lineRule="auto"/>
        <w:ind w:left="709" w:hanging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многонатриевые – &gt; 40 %.</w:t>
      </w:r>
    </w:p>
    <w:p w:rsidR="0073613F" w:rsidRPr="0073613F" w:rsidRDefault="0073613F" w:rsidP="0073613F">
      <w:pPr>
        <w:spacing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Пример расчетов.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При анализе каштановой почвы получены следующие данные: содержание обменного натрия в пахотном слое мощностью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25 см и плотностью (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) 1,39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составило 2,8 мг–экв на 100 г почвы, емкость обмена  – 20 мг–экв на 100 г почвы.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Степень солонцеватости равна: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oMath/>
          <w:rFonts w:ascii="Cambria Math" w:eastAsiaTheme="minorEastAsia" w:hAnsi="Cambria Math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2,8×100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b/>
                  <w:sz w:val="28"/>
                  <w:szCs w:val="28"/>
                  <w:lang w:eastAsia="ru-RU"/>
                </w:rPr>
                <m:t>20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  <w:b/>
              <w:sz w:val="28"/>
              <w:szCs w:val="28"/>
              <w:lang w:eastAsia="ru-RU"/>
            </w:rPr>
            <m:t>=14%</m:t>
          </m:r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Почва относится к сильносолонцеватой и нуждается в химической мелиорации.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Для улучшения свойств солонцов и солонцеватых почв в качестве химического мелиоранта чаще всего используется гипс (Са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SO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.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О). Дозу гипса находят по формуле: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i/>
          <w:sz w:val="28"/>
          <w:szCs w:val="28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eastAsia="ru-RU"/>
            </w:rPr>
            <m:t>Д=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0,086×(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Na-0.05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E)×h×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 w:eastAsia="ru-RU"/>
                </w:rPr>
                <m:t>×100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DB</m:t>
              </m:r>
            </m:den>
          </m:f>
        </m:oMath>
      </m:oMathPara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где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Д   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доза гипса, т/га;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0,086 – 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значение 1 мг-экв гипса,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обменного натрия, мг-экв на 100 г почвы;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Е   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емкость обмена, мг–экв на 100 г почвы;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0,05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количество обменного натрия (в % от емкости обмена) не оказывающее отрицательного влияния на свойства почвы и оставляемое в ППК;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мощность пахотного слоя, см;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V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>плотность почвы, г/см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3613F" w:rsidRPr="0073613F" w:rsidRDefault="0073613F" w:rsidP="0073613F">
      <w:pPr>
        <w:spacing w:after="0" w:line="240" w:lineRule="auto"/>
        <w:ind w:left="1701" w:hanging="98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DB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–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содержание </w:t>
      </w:r>
      <w:r w:rsidRPr="0073613F">
        <w:rPr>
          <w:rFonts w:ascii="Times New Roman" w:eastAsiaTheme="minorEastAsia" w:hAnsi="Times New Roman"/>
          <w:sz w:val="28"/>
          <w:szCs w:val="28"/>
          <w:lang w:val="en-US" w:eastAsia="ru-RU"/>
        </w:rPr>
        <w:t>CaSO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.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2Н</w:t>
      </w:r>
      <w:r w:rsidRPr="0073613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 в мелиоранте, %.</w:t>
      </w:r>
    </w:p>
    <w:p w:rsidR="0073613F" w:rsidRPr="0073613F" w:rsidRDefault="0073613F" w:rsidP="0073613F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В нашем случае при содержании гипса в мелиоранте 75 % его доза составит:</w:t>
      </w:r>
    </w:p>
    <w:p w:rsidR="0073613F" w:rsidRPr="0073613F" w:rsidRDefault="0073613F" w:rsidP="0073613F">
      <w:pPr>
        <w:spacing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position w:val="-24"/>
          <w:sz w:val="28"/>
          <w:szCs w:val="28"/>
          <w:lang w:eastAsia="ru-RU"/>
        </w:rPr>
        <w:object w:dxaOrig="4040" w:dyaOrig="620">
          <v:shape id="_x0000_i1026" type="#_x0000_t75" style="width:201.95pt;height:31.75pt" o:ole="" fillcolor="window">
            <v:imagedata r:id="rId9" o:title=""/>
          </v:shape>
          <o:OLEObject Type="Embed" ProgID="Equation.3" ShapeID="_x0000_i1026" DrawAspect="Content" ObjectID="_1501319832" r:id="rId10"/>
        </w:objec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 = 7,2 т/га</w:t>
      </w: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№2:</w:t>
      </w:r>
    </w:p>
    <w:p w:rsidR="0073613F" w:rsidRPr="0073613F" w:rsidRDefault="0073613F" w:rsidP="0073613F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данным </w:t>
      </w: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>приложения 13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необходимо:</w:t>
      </w:r>
    </w:p>
    <w:p w:rsidR="0073613F" w:rsidRPr="0073613F" w:rsidRDefault="0073613F" w:rsidP="0073613F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709" w:hanging="425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Дать агрономическую оценку физико-химическим свойствам почвы</w:t>
      </w:r>
    </w:p>
    <w:p w:rsidR="0073613F" w:rsidRPr="0073613F" w:rsidRDefault="0073613F" w:rsidP="0073613F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709" w:hanging="425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Определить потребность почвы в химической мелиорации и если необходимо рассчитать дозу мелиоранта.</w:t>
      </w:r>
    </w:p>
    <w:p w:rsidR="0073613F" w:rsidRDefault="0073613F" w:rsidP="0073613F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lastRenderedPageBreak/>
        <w:t>РАБОТА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3. ПРОМЫВКА ЗАСОЛЕННЫХ ЗЕМЕЛЬ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Промывку земель проводят путем подачи воды в почву в объеме, позволяющем переместить солевые растворы за пределы активного корнеобитае-мого слоя, который в зависимости от биологических особенностей сельскохозяйственных  культур составляет 0,6 – 1,5 м. 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организационно-хозяйственным особенностям проведения работ делятся на капитальные и эксплуатационные. Их проводят на фоне горизонтального, вертикального или комбинированного дренажа. В некоторых случаях допуска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ется «осаживание» солей вглубь, в свободную емкость при автоморфном режиме почвогрунтов.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проводят по мелким чекам отдельными тактами без сброса промывной воды, по мелким чекам с постоянным затоплением, перепус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ком воды из чека в чек и частичным поверхностным сбросом, по крупным чекам отдельными тактами.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мелким чекам или цепочкам чеков — один из самых распространенных способов на слабопроницаемых почвах при устройстве временного дренажа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Для затопления участка прокладывают поперечные водоудерживающие валики высотой 25 – 30 см. Разность напоров воды при затоплении не должна превышать 5 см. Вода подается из оросителя из чека в чек по цепочке длиной 200 – 300 м.</w:t>
      </w:r>
    </w:p>
    <w:p w:rsidR="0073613F" w:rsidRPr="0073613F" w:rsidRDefault="0073613F" w:rsidP="0073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Размеры чеков определяются расстояниями между временными дренами (20 – 50 м), которые выполняют в виде открытых каналов глубиной 0,8 – 1 м. Временные дрены соединяются временным коллектором глубиной 1 – 1,2 м.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Поперечные сечения элементов промывной сети приведены на рисунке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приложения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а расходы и глубина воды в канале в зависимости от уклонов – в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приложении 11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мелиорации земель почвы, требующие продолжительности промывок, более 90 – 100 суток, можно одновременно использовать для выращивания затопляемого риса. Основные требования агротехники, обеспечивающие удовлетворительный урожай риса, выращиваемого при промывке засоленных земель, следующие: тщательная планировка поверхности участка, регулиро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вание беспрерывного уровня затопления от посевов до выхода в трубку не более 5 см и после 10 – 15 см, соблюдение оптимальных сроков посевов риса. Для предотвращения разрушения дренажно-коллекторной сети сброс оросительной воды в нее не допускается. При неизбежности сброса некоторого объема воды необходимо выделять часть площади в нижней части участка.</w:t>
      </w:r>
    </w:p>
    <w:p w:rsidR="0073613F" w:rsidRPr="0073613F" w:rsidRDefault="0073613F" w:rsidP="00736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Наиболее эффективным приемом является промывка по мелким чекам отдельными тактами без сброса промывной воды, полосовая промывка от центра междренья к дренам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10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). Начинают ее с затопления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центральной полосы, на которую подают всю промывную норму, на средние полосы – 60 %, а на придренные – 50 % расчетной нормы. Очередную полосу затопляют после того, как в предыдущую подано заданное количество промывной воды.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Промывки по крупным чекам применяют на почвогрунтах с коэффициентами фильтрации более 1 м/сут при малых уклонах поверхности. Водоудерживающие валы высотой 60 – 80 см отсыпают бульдозером, сообразуясь с горизонталями местности. Площадь чеков равна 1 – 3 га. Валы, прилегающие к дренам, располагают на расстоянии 40 – 50 м от них для предохранения их от разрушения. Допустимый перепад напоров при затоплении в чеке  10 – 15 см.</w:t>
      </w:r>
    </w:p>
    <w:p w:rsidR="0073613F" w:rsidRPr="0073613F" w:rsidRDefault="0073613F" w:rsidP="0073613F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Такое расположение чеков внутри междренья дает возможность применить полосовой метод затопления, что повышает эффективность промывки, так как скорость фильтрации воды в придренных зонах участка значительно больше, чем в средней части междренья. В зависимости от нормы промывки и глубины наполнения чеков их затопление повторяют несколько раз. Благодаря значительному слою воды этот способ можно применять в зимнее время.</w:t>
      </w:r>
    </w:p>
    <w:p w:rsidR="0073613F" w:rsidRPr="0073613F" w:rsidRDefault="0073613F" w:rsidP="0073613F">
      <w:pPr>
        <w:tabs>
          <w:tab w:val="left" w:pos="1110"/>
        </w:tabs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4.   ОПРЕДЕЛЕНИЕ  ПРИГОДНОСТИ  МИНЕРАЛИЗОВАННОЙ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ВОДЫ ДЛЯ ОРОШЕНИЯ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Засолением почвы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называют  избыточное скопление в корнеобитаемом слое электролитных (растворенных или поглощенных) солей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MgCl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NaCO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NaHC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NaCl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Na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MgS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которые угнетают или губят сельскохозяй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ственные растения, снижают урожай и его качество. Различают два вида засоления: природное (первичное), зависящее от естественных факторов, и вторичное, связанное с деятельностью человека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Основные причины вторичного засоления почв следующие: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подъем уровня минерализованных грунтовых вод и интенсивное их испарение;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перераспределение запасов легкорастворимых солей в почвогрунтах зоны аэрации без общего подъема грунтовых вод при периодическом увлажнении – иссушении почв;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60" w:lineRule="exact"/>
        <w:ind w:left="567" w:hanging="28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накопление солей в корнеобитаемом слое почвы при исполь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зовании  на  орошение  минерализованной  воды.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Вторичное засоление вызывает снижение или утрату плодородия оро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шаемых почв в результате накопления большого количества легкорастворимых и вредных для растений солей в корнеобитаемом слое почвы.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Засоленные земли делятся на две группы – нейтрального засоления, содержащие в основном хлориды и сульфаты натрия, и щелочного засоления, содержащие главным образом карбонаты и гидрокарбонаты натрия. Нейтральное засоление распространено, как правило, в пустынях и полупустынях, щелочное  – в степной и лесостепной зонах.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Засоленные земли подразделяются по типу и степени засоления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и по глубине залегания солевого горизонта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5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Тип засоления почв можно определить с помощью номограммы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солеустойчивости сельскохозяйственные растения подразделяются на слабо-, среднесолеустойчивые и солеустойчивые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9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Степень засоления почв характеризуется также показателем токсичности. Предельное значение его, выше которого начинается угнетение роста и развития сельскохозяйственных культур, является порогом токсичности. Наибольшей токсичностью для растений в почвах обладают бикарбонаты щелочей, затем идут хлориды и нитраты щелочей; наименьшей токсичностью отличаются сульфаты. Смеси солей всегда менее токсичны, чем их более чистые скопления.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Степень токсичности основных </w:t>
      </w:r>
    </w:p>
    <w:p w:rsidR="0073613F" w:rsidRPr="0073613F" w:rsidRDefault="0073613F" w:rsidP="0073613F">
      <w:pPr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2091"/>
        <w:gridCol w:w="2091"/>
        <w:gridCol w:w="1950"/>
      </w:tblGrid>
      <w:tr w:rsidR="0073613F" w:rsidRPr="0073613F" w:rsidTr="0073613F">
        <w:tc>
          <w:tcPr>
            <w:tcW w:w="1665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NaCl</w:t>
            </w: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Na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</w:tr>
      <w:tr w:rsidR="0073613F" w:rsidRPr="0073613F" w:rsidTr="0073613F">
        <w:tc>
          <w:tcPr>
            <w:tcW w:w="1665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MgCl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Mg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(НС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73613F" w:rsidRPr="0073613F" w:rsidTr="0073613F"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Cl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CaSO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СаС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50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Са(НСО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  <w:r w:rsidRPr="007361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73613F" w:rsidRPr="0073613F" w:rsidTr="0073613F"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73613F" w:rsidRPr="0073613F" w:rsidRDefault="0073613F" w:rsidP="007361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613F" w:rsidRPr="0073613F" w:rsidRDefault="0073613F" w:rsidP="0073613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Соли, расположенные выше черты, вредны для растений. Наиболее токсичны из них сода, хлористый и сернокислый натрий.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Прогнозирование вторичного засоления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Во многих странах мира, особенно расположенных в аридной зоне, запасы пресной воды являются лимитирующим фактором в развитии орошаемого земледелия. Источниками воды для орошения могут быть реки в их естественном и зарегулированном состоянии, лиманы, пруды и водохранилища, подземные различного рода сбросные воды, в некоторых случаях и морская вода.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При решении вопроса о пригодности воды для орошения следует учитывать следующие факторы: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тип почвы и условия естественной и искусственной дренированности оросительной системы;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солеустойчивость возделываемой культуры;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3.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оросительная норма и техника полива;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4.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климатические факторы;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5.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  <w:t>содержание в воде токсичных солей.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Физиологический предел концентрации солей в почвенном растворе большинства культур при хлоридно-сульфатном типе засоления составляет 10 – 12 г/л. Поэтому, не допуская накопления в почве солей выше этого предела, в принципе для орошения можно использовать воду с содержанием солей до 1,5 – 3,0 и даже 5,0 г/л. На легких по гранулометрическому составу почвах допускается полив водой с более высокой минерализацией.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Если при орошении незасоленных почв пресными водами поливы проводят по дефициту влаги до уровня НВ, то при орошении минерализованными водами поливы осуществляют более высокими нормам с целью вымывания солей в дренажные системы. Помимо количества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растворенных солей обязательно необходимо учитывать и их качественный состав.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Существует много различных классификаций оросительной воды по степени пригодности ее для орошения. Некоторые из них представлены в 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приложениях 1, 2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Расчет ирригационных коэффициентов (по Стеблеру)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Часто этот метод используется для предварительных оценок. Преимущество его состоит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в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простоте расчетов, а недостатком является отсутствие возможности прогнозирования, с достаточной точностью, засоления почвы при орошении культур минерализованной водой.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Расчет ирригационных коэффициентов (У)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ведется по величине концентрации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Y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ионов в воде по следующим формулам: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1.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&lt;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присутствуют только хлориды, то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/>
              <w:color w:val="000000"/>
              <w:sz w:val="28"/>
              <w:lang w:eastAsia="ru-RU"/>
            </w:rPr>
            <m:t>У=</m:t>
          </m:r>
          <m:f>
            <m:fPr>
              <m:ctrlPr>
                <w:rPr>
                  <w:rFonts w:ascii="Cambria Math" w:eastAsia="Times New Roman" w:hAnsi="Cambria Math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5Y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2.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&gt;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и присутствуют сульфаты, но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&lt;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ym w:font="Symbol" w:char="F053"/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SO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4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, то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/>
              <w:color w:val="000000"/>
              <w:sz w:val="28"/>
              <w:lang w:eastAsia="ru-RU"/>
            </w:rPr>
            <m:t>У=</m:t>
          </m:r>
          <m:f>
            <m:fPr>
              <m:ctrlPr>
                <w:rPr>
                  <w:rFonts w:ascii="Cambria Math" w:eastAsia="Times New Roman" w:hAnsi="Cambria Math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val="en-US" w:eastAsia="ru-RU"/>
                </w:rPr>
                <m:t>Y</m:t>
              </m:r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 xml:space="preserve">+4Y 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ctrlPr>
                <w:rPr>
                  <w:rFonts w:ascii="Cambria Math" w:eastAsia="Times New Roman" w:hAnsi="Cambria Math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3. если иона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Na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+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&gt;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Cl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SO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4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и присутствуют хлориды, сульфаты, карбонаты и бикарбонаты натрия, </w:t>
      </w:r>
      <w:r w:rsidRPr="0073613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то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val="en-US" w:eastAsia="ru-RU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8"/>
              <w:lang w:eastAsia="ru-RU"/>
            </w:rPr>
            <m:t>У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288</m:t>
              </m: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10Y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-5Y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Cl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eastAsia="ru-RU"/>
                    </w:rPr>
                    <m:t>-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eastAsia="ru-RU"/>
                </w:rPr>
                <m:t>-9Y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SO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4</m:t>
                  </m:r>
                </m:sub>
              </m:sSub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Пригодность воды для орошения в этом случае может быть оценена следующим образом:</w:t>
      </w:r>
    </w:p>
    <w:tbl>
      <w:tblPr>
        <w:tblStyle w:val="a9"/>
        <w:tblW w:w="0" w:type="auto"/>
        <w:tblLook w:val="04A0"/>
      </w:tblPr>
      <w:tblGrid>
        <w:gridCol w:w="2518"/>
        <w:gridCol w:w="7053"/>
      </w:tblGrid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 xml:space="preserve">Ирригационный 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коэффициент (У)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Пригодность воды для орошения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более 18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неограниченно пригодна для орошения всех культур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17,9 – 6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пригодна для орошения большинства культур в зависимости от почвенно-климатических условий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5,9 – 1,2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 xml:space="preserve">ограниченно пригодна для орошения солеустойчивых культур при условии хорошего искусственного дренажа, проведении промывных поливов и мелиоративных мероприятий (например, внесении эмульсии гипса в воду) </w:t>
            </w:r>
          </w:p>
        </w:tc>
      </w:tr>
      <w:tr w:rsidR="0073613F" w:rsidRPr="0073613F" w:rsidTr="0073613F">
        <w:tc>
          <w:tcPr>
            <w:tcW w:w="251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менее 1,2</w:t>
            </w:r>
          </w:p>
        </w:tc>
        <w:tc>
          <w:tcPr>
            <w:tcW w:w="705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вода непригодна для орошения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>Задание для самостоятельной работы №3: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1. Для выполнения данной работы по результатам химического анализа воды (индивидуальное задание выдается преподавателем) необходимо дать оценку пригодности ее для орошения с учетом солеустойчивости культуры и почвенно-климатических условий.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lastRenderedPageBreak/>
        <w:t xml:space="preserve">2.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Необходимо также определить сумму катионов и анионов, затем по периодической таблице Менделеева (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приложение 14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), сделать пересчет из мг-экв/л на единицу измерения г/л.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Таблица – Результаты определений солевого состава оросительной воды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47"/>
        <w:gridCol w:w="747"/>
        <w:gridCol w:w="748"/>
        <w:gridCol w:w="747"/>
        <w:gridCol w:w="748"/>
        <w:gridCol w:w="799"/>
        <w:gridCol w:w="696"/>
        <w:gridCol w:w="1069"/>
        <w:gridCol w:w="1070"/>
        <w:gridCol w:w="993"/>
        <w:gridCol w:w="532"/>
      </w:tblGrid>
      <w:tr w:rsidR="0073613F" w:rsidRPr="0073613F" w:rsidTr="0073613F">
        <w:tc>
          <w:tcPr>
            <w:tcW w:w="709" w:type="dxa"/>
            <w:vMerge w:val="restart"/>
            <w:textDirection w:val="btLr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Вариант</w:t>
            </w:r>
          </w:p>
        </w:tc>
        <w:tc>
          <w:tcPr>
            <w:tcW w:w="5232" w:type="dxa"/>
            <w:gridSpan w:val="7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Содержание ионов, мг-экв/л</w:t>
            </w:r>
          </w:p>
        </w:tc>
        <w:tc>
          <w:tcPr>
            <w:tcW w:w="2139" w:type="dxa"/>
            <w:gridSpan w:val="2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Сумма, мг-экв/л</w:t>
            </w:r>
          </w:p>
        </w:tc>
        <w:tc>
          <w:tcPr>
            <w:tcW w:w="1525" w:type="dxa"/>
            <w:gridSpan w:val="2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Сумма солей</w:t>
            </w:r>
          </w:p>
        </w:tc>
      </w:tr>
      <w:tr w:rsidR="0073613F" w:rsidRPr="0073613F" w:rsidTr="0073613F">
        <w:trPr>
          <w:trHeight w:val="998"/>
        </w:trPr>
        <w:tc>
          <w:tcPr>
            <w:tcW w:w="709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Ca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2+</w:t>
            </w: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Mg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2+</w:t>
            </w:r>
          </w:p>
        </w:tc>
        <w:tc>
          <w:tcPr>
            <w:tcW w:w="74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K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+</w:t>
            </w:r>
          </w:p>
        </w:tc>
        <w:tc>
          <w:tcPr>
            <w:tcW w:w="74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Na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+</w:t>
            </w:r>
          </w:p>
        </w:tc>
        <w:tc>
          <w:tcPr>
            <w:tcW w:w="748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SO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bscript"/>
                <w:lang w:val="en-US" w:eastAsia="ru-RU"/>
              </w:rPr>
              <w:t>4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2–</w:t>
            </w:r>
          </w:p>
        </w:tc>
        <w:tc>
          <w:tcPr>
            <w:tcW w:w="79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59" w:right="-1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HCO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–</w:t>
            </w:r>
          </w:p>
        </w:tc>
        <w:tc>
          <w:tcPr>
            <w:tcW w:w="696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Cl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0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катионов</w:t>
            </w:r>
          </w:p>
        </w:tc>
        <w:tc>
          <w:tcPr>
            <w:tcW w:w="10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анионов</w:t>
            </w:r>
          </w:p>
        </w:tc>
        <w:tc>
          <w:tcPr>
            <w:tcW w:w="993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мг-экв/л</w:t>
            </w:r>
          </w:p>
        </w:tc>
        <w:tc>
          <w:tcPr>
            <w:tcW w:w="53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г/л</w:t>
            </w: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70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95" w:right="-18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32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Выводы: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 w:line="240" w:lineRule="auto"/>
        <w:ind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5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ОПРЕДЕЛЕНИЕ ОРОСИТЕЛЬНЫХ И ПОЛИВНЫХ НОРМ</w:t>
      </w:r>
      <w:r w:rsidRPr="007361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 xml:space="preserve">Режим орошения сельскохозяйственных культур –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это размер и очередность подачи поливной воды, т.е. сроки, нормы и количество поливов.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Правильный режим орошения обеспечивает максимальную урожайность сельскохозяйственных культур при в совокупности с рациональным внесением воды, способствует созданию в почве оптимального водно-воздушного и питательного режимов, не допуская при этом засоления и заболачивания.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Оросительной нормой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называется суммарное количество воды, поданное на поле под определенную культуру за весь период вегетации.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Для расчетов оросительной нормы часто используется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уравнение водного баланса (орошаемого поля)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, предложенное А.Н. Костяковым, которое для корнеобитаемого слоя почвы имеет вид: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М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10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LP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H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Г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Т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И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W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Ф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S</m:t>
        </m:r>
      </m:oMath>
      <w:r w:rsidRPr="007361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где: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М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оросительная норма нетто,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коэффициент использования осадков вегетационного периода;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сумма осадков за период вегетации растений, мм; </w:t>
      </w:r>
    </w:p>
    <w:p w:rsidR="0073613F" w:rsidRPr="0073613F" w:rsidRDefault="00D93A56" w:rsidP="0073613F">
      <w:pPr>
        <w:shd w:val="clear" w:color="auto" w:fill="FFFFFF"/>
        <w:autoSpaceDE w:val="0"/>
        <w:autoSpaceDN w:val="0"/>
        <w:adjustRightInd w:val="0"/>
        <w:spacing w:after="0"/>
        <w:ind w:left="1418" w:hanging="6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H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запасы влаги в расчетном слое почвы в начале вегетаци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онного периода,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Г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подпитывание корнеобитаемого слоя почвы грунтовыми водами;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Т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испарение влаги растениями (транспирация),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И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испарение (эвапорация) влаги почвой,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Ф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фильтрация воды за пределы корнеобитаемого слоя,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/га; </w:t>
      </w:r>
    </w:p>
    <w:p w:rsidR="0073613F" w:rsidRPr="0073613F" w:rsidRDefault="00D93A56" w:rsidP="0073613F">
      <w:pPr>
        <w:shd w:val="clear" w:color="auto" w:fill="FFFFFF"/>
        <w:autoSpaceDE w:val="0"/>
        <w:autoSpaceDN w:val="0"/>
        <w:adjustRightInd w:val="0"/>
        <w:spacing w:after="0"/>
        <w:ind w:left="1418" w:hanging="6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K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запасы влаги в расчетном слое в конце вегетационного периода, м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сток оросительной воды,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Из уравнения водного баланса определяют оросительную норму (М):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М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Т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И-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10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L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val="en-US" w:eastAsia="ru-RU"/>
          </w:rPr>
          <m:t> 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P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b/>
                <w:sz w:val="28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H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K</m:t>
                </m:r>
              </m:sub>
            </m:sSub>
          </m:e>
        </m:d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-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Г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Ф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4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4"/>
            <w:lang w:val="en-US" w:eastAsia="ru-RU"/>
          </w:rPr>
          <m:t>S</m:t>
        </m:r>
      </m:oMath>
      <w:r w:rsidRPr="007361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Общий расход влаги на транспирацию и испарение (Т + И) составляет суммарное недопотребление (ЕТ).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При определении оросительной нормы учитывается уровень подпи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 xml:space="preserve">тывания грунтовыми водами. На разных по гранулометрическому составу почвах и в зависимости от культуры величина его будет изменяться. В каждом конкретном случае количество используемых грунтовых вод (Г) определяется по экспериментальным данным, а при их отсутствии можно рассчитать по формуле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Г = ЕТ </w:t>
      </w:r>
      <w:r w:rsidRPr="007361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× 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b/>
          <w:color w:val="000000"/>
          <w:sz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Г   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>используемые грунтовые воды,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ЕТ –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  <w:t xml:space="preserve">суммарное водопотребление или суммарный расход воды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орошаемым полем,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/га;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грунтовых вод, представляющий долю суммарного водопотребления.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Таблица – Примерные значения коэффициента использования грунтовых вод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686"/>
        <w:gridCol w:w="815"/>
        <w:gridCol w:w="815"/>
        <w:gridCol w:w="815"/>
        <w:gridCol w:w="815"/>
        <w:gridCol w:w="816"/>
      </w:tblGrid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Почвогрунт по гранулометрическому составу</w:t>
            </w:r>
          </w:p>
        </w:tc>
        <w:tc>
          <w:tcPr>
            <w:tcW w:w="3686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Агрофон</w:t>
            </w:r>
          </w:p>
        </w:tc>
        <w:tc>
          <w:tcPr>
            <w:tcW w:w="4076" w:type="dxa"/>
            <w:gridSpan w:val="5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Глубина залегания грунтовых вод, м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1,5</w:t>
            </w:r>
          </w:p>
        </w:tc>
        <w:tc>
          <w:tcPr>
            <w:tcW w:w="81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2,0</w:t>
            </w:r>
          </w:p>
        </w:tc>
        <w:tc>
          <w:tcPr>
            <w:tcW w:w="816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3,0</w:t>
            </w:r>
          </w:p>
        </w:tc>
      </w:tr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Легкий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Культуры с корневой системой:</w:t>
            </w: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0,6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0,85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0,40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1,0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000000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более 1,0 м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0,70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0,40</w:t>
            </w:r>
          </w:p>
        </w:tc>
        <w:tc>
          <w:tcPr>
            <w:tcW w:w="816" w:type="dxa"/>
            <w:tcBorders>
              <w:top w:val="nil"/>
              <w:bottom w:val="single" w:sz="4" w:space="0" w:color="000000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</w:t>
            </w:r>
          </w:p>
        </w:tc>
      </w:tr>
      <w:tr w:rsidR="0073613F" w:rsidRPr="0073613F" w:rsidTr="0073613F">
        <w:tc>
          <w:tcPr>
            <w:tcW w:w="1809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Тяжелый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Культуры с корневой системой:</w:t>
            </w: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0,6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–</w:t>
            </w:r>
          </w:p>
        </w:tc>
      </w:tr>
      <w:tr w:rsidR="0073613F" w:rsidRPr="0073613F" w:rsidTr="0073613F"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до 1,0 м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0,95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0,50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0,35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0,20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0,05</w:t>
            </w:r>
          </w:p>
        </w:tc>
      </w:tr>
      <w:tr w:rsidR="0073613F" w:rsidRPr="0073613F" w:rsidTr="0073613F">
        <w:trPr>
          <w:trHeight w:val="220"/>
        </w:trPr>
        <w:tc>
          <w:tcPr>
            <w:tcW w:w="1809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более 1,0 м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1,00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0,95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0,70</w:t>
            </w:r>
          </w:p>
        </w:tc>
        <w:tc>
          <w:tcPr>
            <w:tcW w:w="815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0,50</w:t>
            </w:r>
          </w:p>
        </w:tc>
        <w:tc>
          <w:tcPr>
            <w:tcW w:w="816" w:type="dxa"/>
            <w:tcBorders>
              <w:top w:val="nil"/>
            </w:tcBorders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3613F">
              <w:rPr>
                <w:rFonts w:ascii="Times New Roman" w:eastAsiaTheme="minorEastAsia" w:hAnsi="Times New Roman"/>
                <w:sz w:val="24"/>
                <w:lang w:eastAsia="ru-RU"/>
              </w:rPr>
              <w:t>0,15</w:t>
            </w:r>
          </w:p>
        </w:tc>
      </w:tr>
    </w:tbl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Примечание: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минерализации грунтовых вод коэффициент (К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Г</w:t>
      </w:r>
      <w:r w:rsidRPr="0073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следует уменьшить в 1,5 – 2,0 раза.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Для выполнения расчетов оросительной нормы студент получает индивидуальное задание по форме: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211"/>
        <w:gridCol w:w="2180"/>
        <w:gridCol w:w="2180"/>
      </w:tblGrid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Название почвы</w:t>
            </w:r>
          </w:p>
        </w:tc>
        <w:tc>
          <w:tcPr>
            <w:tcW w:w="218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Количество осадков (Р), мм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ЕТ (И + Т), м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/га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Глубина залегания грунтовых вод, м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21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3613F">
              <w:rPr>
                <w:rFonts w:ascii="Times New Roman" w:eastAsia="Times New Roman" w:hAnsi="Times New Roman"/>
                <w:sz w:val="28"/>
                <w:szCs w:val="24"/>
              </w:rPr>
              <w:t>Оросительная норма, м</w:t>
            </w:r>
            <w:r w:rsidRPr="0073613F">
              <w:rPr>
                <w:rFonts w:ascii="Times New Roman" w:eastAsia="Times New Roman" w:hAnsi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80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lastRenderedPageBreak/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Поливная норма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это количество воды, затраченное на один гектар посевов культуры за один полив. Сумма поливных норм, поданных за весь период вегетации, составляет оросительную норму.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Оросительную норму (М) в течение вегетации распределяют отдельными поливными нормами: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 = 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sym w:font="Symbol" w:char="F053"/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m</w:t>
      </w:r>
      <w:r w:rsidRPr="0073613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m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поливная норма (количество воды, подаваемое на 1 га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посева данной культуры за один полив),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или мм/га.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Расчет нормы полива производят по влажности корнеобитаемого слоя.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Величина поливной нормы устанавливается в зависимости от влажности при полевой влагоемкости и предполивной влажности почвы корнеобитаемого слоя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color w:val="000000"/>
            <w:lang w:eastAsia="ru-RU"/>
          </w:rPr>
          <m:t>m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lang w:eastAsia="ru-RU"/>
          </w:rPr>
          <m:t>100×h×</m:t>
        </m:r>
        <m:sSup>
          <m:sSupPr>
            <m:ctrlPr>
              <w:rPr>
                <w:rFonts w:ascii="Cambria Math" w:eastAsia="Times New Roman" w:hAnsi="Cambria Math" w:cs="Times New Roman"/>
                <w:b/>
                <w:color w:val="000000"/>
                <w:lang w:val="en-US" w:eastAsia="ru-RU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Д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/>
                <w:color w:val="000000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ППВ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lang w:val="en-US"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Times New Roman" w:cs="Times New Roman"/>
                    <w:color w:val="000000"/>
                    <w:lang w:eastAsia="ru-RU"/>
                  </w:rPr>
                  <m:t>ДМ</m:t>
                </m:r>
              </m:sub>
            </m:sSub>
          </m:e>
        </m:d>
      </m:oMath>
      <w:r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,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где: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m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норма полива,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h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глубина увлажняемого слоя, м;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1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плотность почвы, т/м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ппв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влажность почвы при наименьшей влагоемкости (НВ),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>% 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дм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влажность почвы в данный момент (полевая влажность), </w:t>
      </w:r>
      <w:r w:rsidRPr="0073613F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%.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При правильном режиме орошения эта влажность должна быть по величине близка к влажности при допустимом пределе иссушения почвы для данного типа почвы и сельскохозяйственной культуры.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Для выполнения расчетов поливной нормы аспирант получает индивидуальное задание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1334"/>
        <w:gridCol w:w="1969"/>
        <w:gridCol w:w="1134"/>
        <w:gridCol w:w="767"/>
        <w:gridCol w:w="1678"/>
        <w:gridCol w:w="1348"/>
      </w:tblGrid>
      <w:tr w:rsidR="0073613F" w:rsidRPr="0073613F" w:rsidTr="0073613F">
        <w:tc>
          <w:tcPr>
            <w:tcW w:w="1341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1334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Фаза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развития</w:t>
            </w:r>
          </w:p>
        </w:tc>
        <w:tc>
          <w:tcPr>
            <w:tcW w:w="3870" w:type="dxa"/>
            <w:gridSpan w:val="3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Водно-физические свойства</w:t>
            </w:r>
          </w:p>
        </w:tc>
        <w:tc>
          <w:tcPr>
            <w:tcW w:w="1678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Глубина (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h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 увлажняемого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слоя, м</w:t>
            </w:r>
          </w:p>
        </w:tc>
        <w:tc>
          <w:tcPr>
            <w:tcW w:w="1348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Поливная норма (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m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),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3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/га</w:t>
            </w:r>
          </w:p>
        </w:tc>
      </w:tr>
      <w:tr w:rsidR="0073613F" w:rsidRPr="0073613F" w:rsidTr="0073613F">
        <w:tc>
          <w:tcPr>
            <w:tcW w:w="1341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плотность почвы (Д), г/см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73613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ППВ</w:t>
            </w:r>
          </w:p>
        </w:tc>
        <w:tc>
          <w:tcPr>
            <w:tcW w:w="76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73613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ДМ</w:t>
            </w:r>
          </w:p>
        </w:tc>
        <w:tc>
          <w:tcPr>
            <w:tcW w:w="1678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341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6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3613F" w:rsidRPr="0073613F" w:rsidTr="0073613F">
        <w:tc>
          <w:tcPr>
            <w:tcW w:w="1341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69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6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48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Выводы: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Задание для самостоятельной работы №4: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 литературным данным выполнить: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группировку культур по допустимому порогу предпосевной влажности почвы 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r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ДМ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выписать предельный порог иссушения почвы, при котором нарушается водоснабжение растений, в зависимости от поч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венной разновидности.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6.  ДИАГНОСТИКА СРОКОВ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ПОЛИВА 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Определение срока полива по запасам доступной влаги.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Доступной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(продуктивной)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называют ту часть общей почвенной влаги, которая может быть использована растениями в процессе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жизнедеятельности и участвует в формирования урожая. Это вся влага, которая поглощается за счет сосущей силы корневой системы растений.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Каждая культура даже в пределах одной сельскохозяйственной группы обладает биологическими особенностями, поэтому по степени использования доступной влаги </w:t>
      </w:r>
      <w:r w:rsidRPr="0073613F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все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культуры делятся на четыре группы: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первой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группе отнесены – лук, перец, картофель;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второй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бананы, виноград, капуста, горох, томаты;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третьей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люцерна, фасоль, арахис, пшеница, арбузы, подсолнечник, ананасы, цитрусовые;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четвертой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хлопчатник, кукуруза, сорго, соя, свекла сахарная, табак.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зависимости от группы введен специальный коэффициент исполь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softHyphen/>
        <w:t>зования почвенной влаги при определенной эвапотранспирации.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276" w:hanging="12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Таблица –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Коэффициент использования почвенной влаги (К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vertAlign w:val="subscript"/>
          <w:lang w:eastAsia="ru-RU"/>
        </w:rPr>
        <w:t>р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в зависимости от группы культур и величины максимальной эвапотранспирации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162"/>
        <w:gridCol w:w="910"/>
        <w:gridCol w:w="910"/>
        <w:gridCol w:w="911"/>
        <w:gridCol w:w="910"/>
        <w:gridCol w:w="911"/>
        <w:gridCol w:w="910"/>
        <w:gridCol w:w="911"/>
        <w:gridCol w:w="910"/>
        <w:gridCol w:w="911"/>
      </w:tblGrid>
      <w:tr w:rsidR="0073613F" w:rsidRPr="0073613F" w:rsidTr="0073613F">
        <w:tc>
          <w:tcPr>
            <w:tcW w:w="116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Группа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культур</w:t>
            </w:r>
          </w:p>
        </w:tc>
        <w:tc>
          <w:tcPr>
            <w:tcW w:w="8194" w:type="dxa"/>
            <w:gridSpan w:val="9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ЕТ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  <w:vertAlign w:val="subscript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, мм/дн</w:t>
            </w:r>
          </w:p>
        </w:tc>
      </w:tr>
      <w:tr w:rsidR="0073613F" w:rsidRPr="0073613F" w:rsidTr="0073613F">
        <w:trPr>
          <w:trHeight w:val="330"/>
        </w:trPr>
        <w:tc>
          <w:tcPr>
            <w:tcW w:w="1162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6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0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0,200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0,175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0,625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0,576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0,475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0,400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0,225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3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0,700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0,600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0,800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0,700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0,600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Естественно, что запасы доступной влаги в корнеобитаемом слое зависят от типа почвы и от глубины проникновения корневой системы растений.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 примеру, используя данные по величине ЕТ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(например, 10), запасам доступной влаги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W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П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= 170 мм), можем рассчитать для хлопчатника (4 группа) период расхода доступной влаги:</w:t>
      </w:r>
    </w:p>
    <w:p w:rsidR="0073613F" w:rsidRPr="0073613F" w:rsidRDefault="00D93A56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П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ЕТ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М</m:t>
                </m:r>
              </m:sub>
            </m:sSub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170∙0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7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дней</m:t>
        </m:r>
      </m:oMath>
      <w:r w:rsidR="0073613F"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Оформление расчетов приводят по следующей схеме:</w:t>
      </w:r>
    </w:p>
    <w:tbl>
      <w:tblPr>
        <w:tblStyle w:val="a9"/>
        <w:tblW w:w="0" w:type="auto"/>
        <w:tblLook w:val="04A0"/>
      </w:tblPr>
      <w:tblGrid>
        <w:gridCol w:w="5920"/>
        <w:gridCol w:w="1217"/>
        <w:gridCol w:w="1217"/>
        <w:gridCol w:w="1217"/>
      </w:tblGrid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Максимальная эвапотранспирация ЕТ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 xml:space="preserve">М,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мм/дн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Коэффициент использования почвенной влаги Кр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Период расхода доступной влаги Т, дн.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Определение срока полива с помощью биофизических коэффициентов (предложено Г.К. Льговым)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Для определения срока очередного вегетационного полива опыт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ным путем по периодам развития культур устанавливают биофизичес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кий коэффициент (К), то есть расход воды на 1°С в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/га. На Северном Кавказе для большинства культур в среднем равен 1,88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 на 1°С.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Зная исходный запас почвенной влаги и имея прогноз среднесу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точных температур воздуха для данного периода, можно заблаговре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менно определить срок полива культуры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Т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szCs w:val="19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19"/>
                      <w:lang w:val="en-US" w:eastAsia="ru-RU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П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Р∙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8"/>
                          <w:szCs w:val="19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val="en-US" w:eastAsia="ru-RU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eastAsia="ru-RU"/>
                        </w:rPr>
                        <m:t>а</m:t>
                      </m: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К∙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19"/>
                  <w:lang w:val="en-US" w:eastAsia="ru-RU"/>
                </w:rPr>
                <m:t>t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где: 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время, в течение которого может быть израсходована на испарение допустимая норма воды, сутки;</w:t>
      </w:r>
    </w:p>
    <w:p w:rsidR="0073613F" w:rsidRPr="0073613F" w:rsidRDefault="00D93A56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П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 доступной влаги в корнеобитаемом слое (при допустимом пороге иссушения),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сумма осадков,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 xml:space="preserve">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осадков, равный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0,6-0,7; </w:t>
      </w:r>
    </w:p>
    <w:p w:rsidR="0073613F" w:rsidRPr="0073613F" w:rsidRDefault="0073613F" w:rsidP="0073613F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       –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расход воды на 1°С для данного периода развития растений, для основных культур составляет от 1,3 до 2,7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1°С, для риса  3,5-4,0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t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среднесуточная температура (по прогнозу), </w:t>
      </w:r>
      <w:r w:rsidRPr="007361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С.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Расчеты по данной методике приводят по следующей схеме:</w:t>
      </w:r>
    </w:p>
    <w:tbl>
      <w:tblPr>
        <w:tblStyle w:val="a9"/>
        <w:tblW w:w="0" w:type="auto"/>
        <w:tblLook w:val="04A0"/>
      </w:tblPr>
      <w:tblGrid>
        <w:gridCol w:w="6062"/>
        <w:gridCol w:w="1169"/>
        <w:gridCol w:w="1170"/>
        <w:gridCol w:w="1170"/>
      </w:tblGrid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Сумма осадков  Р, мм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Коэффициент использования осадков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0,6-0,7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Расход воды на 1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 для данного периода развития культуры,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1,3-2,7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Среднесуточная температура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Время на испарение допустимой нормы воды Т, сут.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36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РАБОТА 7.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КАЧЕСТВА ОРОСИТЕЛЬНОЙ ВОДЫ 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солонцам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относятся почвы, содержащие в гумусовом горизонте такое количество обменного натрия, которое обусловливает развитие в почвах комплекса неблагоприятных свойств – щелочную реакцию среды, высокую дисперсность минеральной части, связность, набухание при увлажнении, сильное уплотнение и твердость при иссушении.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Солонцы и солонцеватые почвы классифицируют по глубине залегания солонцового горизонта, карбонатов, гипса и по содержанию обменного натрия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7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Солонцы развиваются преимущественно в сухостепной зоне в сочетании с другими почвенными разностями, образуя сложный комплексный почвенный покров. </w:t>
      </w:r>
      <w:r w:rsidRPr="0073613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3613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зависимости от размера солонцовых пятен различают микрокомплексы  (площадью менее 100 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и мезокомплексы (более 100 м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По участию солонцовых пятен выделяют комплексы с содержанием солонцов менее 10 %, от 10 до 25 %, от 25 до 50 и с содержанием более 50 %.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Тип солонцов характеризует природную зону и условия гидроморфизма.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Подтипы солонцов определяют наличие воднорастворимых солей и глубина залегания солевых горизонтов: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солончаковые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солевой горизонт расположен на глубине не более 30 см; сумма солей составляет  2 – 3 %;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типичные (солончаковатые)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соли с глубины 30 – 60 см; содержание солей 0,5 – 1,5 %;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остаточные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засоление во втором метре, количество солей 0,4 – 0,6 %;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солонцы осолоделые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соли расположены глубже 150 см, выделяется осолоделый горизонт А, имеющий кислую реакцию почвенного раствора (рН &lt;7).</w:t>
      </w:r>
    </w:p>
    <w:p w:rsidR="0073613F" w:rsidRPr="0073613F" w:rsidRDefault="0073613F" w:rsidP="0073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Солонцы делятся по типу образовавших их солей, связанных с породообразующими минералами, к их числу относятся солонцы нейтрального типа засоления, нейтрального типа с участием соды (С0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≥ 0,03 мг-экв, НС0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≥ 1,4 мг-экв на 100 г) и содового типа. Виды солонцов характеризуются по развитию   солонцового   профиля   (</w:t>
      </w:r>
      <w:r w:rsidRPr="0073613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8</w:t>
      </w: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73613F" w:rsidRPr="0073613F" w:rsidRDefault="0073613F" w:rsidP="007361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Встречаются почвы, в которых морфологические признаки солонцеватости не коррелируют с содержанием обменного натрия. В них часто наблюдается повышенное количество обменного магния и сохраняются отрицательные водные и физические свойства, снижающие агрономические качества. Существует несколько методов оценки качества оросительных вод.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Метод оценки оросительных вод по коэффициенту (К) ионного обмена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(предложили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И.Н. Антипов-Каратаев и Г.М. Кадер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в 1961 г.):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К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Ca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Mg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r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val="en-US" w:eastAsia="ru-RU"/>
                    </w:rPr>
                    <m:t>+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0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4"/>
                  <w:lang w:val="en-US" w:eastAsia="ru-RU"/>
                </w:rPr>
                <m:t>,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4"/>
                  <w:lang w:val="en-US" w:eastAsia="ru-RU"/>
                </w:rPr>
                <m:t>23 S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минерализация воды, г/л;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Ca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Mg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r>
          <w:rPr>
            <w:rFonts w:ascii="Cambria Math" w:eastAsia="Times New Roman" w:hAnsi="Cambria Math"/>
            <w:sz w:val="28"/>
            <w:szCs w:val="24"/>
            <w:lang w:val="en-US" w:eastAsia="ru-RU"/>
          </w:rPr>
          <m:t>r</m:t>
        </m:r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+</m:t>
            </m:r>
          </m:sup>
        </m:sSup>
      </m:oMath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– содержание этих элементов в воде, мг-экв/л.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При  К &lt; 1 вода считается непригодной для орошения.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2.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ab/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Показатель адсорбционного отношения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val="en-US" w:eastAsia="ru-RU"/>
        </w:rPr>
        <w:t>S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А</w:t>
      </w:r>
      <w:r w:rsidRPr="0073613F">
        <w:rPr>
          <w:rFonts w:ascii="Times New Roman" w:eastAsia="Times New Roman" w:hAnsi="Times New Roman"/>
          <w:b/>
          <w:smallCaps/>
          <w:color w:val="000000"/>
          <w:sz w:val="28"/>
          <w:szCs w:val="19"/>
          <w:lang w:val="en-US" w:eastAsia="ru-RU"/>
        </w:rPr>
        <w:t>R</w:t>
      </w:r>
      <w:r w:rsidRPr="0073613F">
        <w:rPr>
          <w:rFonts w:ascii="Times New Roman" w:eastAsia="Times New Roman" w:hAnsi="Times New Roman"/>
          <w:b/>
          <w:smallCaps/>
          <w:color w:val="000000"/>
          <w:sz w:val="28"/>
          <w:szCs w:val="19"/>
          <w:lang w:eastAsia="ru-RU"/>
        </w:rPr>
        <w:t>)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, рассчитывается по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формуле Гапона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(используется для оценки воды в США):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4"/>
              <w:lang w:eastAsia="ru-RU"/>
            </w:rPr>
            <m:t>SAR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8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  <w:lang w:eastAsia="ru-RU"/>
                    </w:rPr>
                    <m:t>Na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4"/>
                      <w:lang w:eastAsia="ru-RU"/>
                    </w:rPr>
                    <m:t>+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4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sz w:val="28"/>
                          <w:szCs w:val="24"/>
                          <w:lang w:val="en-US"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sz w:val="28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Ca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sz w:val="28"/>
                              <w:szCs w:val="24"/>
                              <w:lang w:val="en-US" w:eastAsia="ru-RU"/>
                            </w:rPr>
                            <m:t>+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4"/>
                          <w:lang w:val="en-US" w:eastAsia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sz w:val="28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Mg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4"/>
                              <w:lang w:val="en-US" w:eastAsia="ru-RU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sz w:val="28"/>
                              <w:szCs w:val="24"/>
                              <w:lang w:val="en-US" w:eastAsia="ru-RU"/>
                            </w:rPr>
                            <m:t>+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4"/>
                          <w:lang w:val="en-US" w:eastAsia="ru-RU"/>
                        </w:rPr>
                        <m:t>2</m:t>
                      </m:r>
                    </m:den>
                  </m:f>
                </m:e>
              </m:rad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где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Ca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Mg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2+</m:t>
            </m:r>
          </m:sup>
        </m:sSup>
        <m:r>
          <w:rPr>
            <w:rFonts w:ascii="Cambria Math" w:eastAsia="Times New Roman" w:hAnsi="Cambria Math"/>
            <w:sz w:val="28"/>
            <w:szCs w:val="24"/>
            <w:lang w:eastAsia="ru-RU"/>
          </w:rPr>
          <m:t xml:space="preserve">,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4"/>
                <w:lang w:val="en-US" w:eastAsia="ru-RU"/>
              </w:rPr>
              <m:t>Na</m:t>
            </m:r>
          </m:e>
          <m:sup>
            <m:r>
              <w:rPr>
                <w:rFonts w:ascii="Cambria Math" w:eastAsia="Times New Roman" w:hAnsi="Cambria Math"/>
                <w:sz w:val="28"/>
                <w:szCs w:val="24"/>
                <w:lang w:eastAsia="ru-RU"/>
              </w:rPr>
              <m:t>+</m:t>
            </m:r>
          </m:sup>
        </m:sSup>
      </m:oMath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– концентрация катионов солей, мг-экв/л.;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По величине 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val="en-US" w:eastAsia="ru-RU"/>
        </w:rPr>
        <w:t>SAR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дается оценка опасности осолонцевания почв:</w:t>
      </w:r>
    </w:p>
    <w:tbl>
      <w:tblPr>
        <w:tblStyle w:val="a9"/>
        <w:tblW w:w="0" w:type="auto"/>
        <w:tblInd w:w="675" w:type="dxa"/>
        <w:tblLook w:val="04A0"/>
      </w:tblPr>
      <w:tblGrid>
        <w:gridCol w:w="4110"/>
        <w:gridCol w:w="4112"/>
      </w:tblGrid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 xml:space="preserve">Показатель </w:t>
            </w: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  <w:lang w:val="en-US"/>
              </w:rPr>
              <w:t>S</w:t>
            </w: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А</w:t>
            </w:r>
            <w:r w:rsidRPr="0073613F">
              <w:rPr>
                <w:rFonts w:ascii="Times New Roman" w:eastAsia="Times New Roman" w:hAnsi="Times New Roman"/>
                <w:b/>
                <w:smallCaps/>
                <w:color w:val="000000"/>
                <w:sz w:val="28"/>
                <w:szCs w:val="19"/>
                <w:lang w:val="en-US"/>
              </w:rPr>
              <w:t>R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b/>
                <w:color w:val="000000"/>
                <w:sz w:val="28"/>
                <w:szCs w:val="19"/>
              </w:rPr>
              <w:t>Опасность осолонцевания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менее 10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малая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10 – 18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средняя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18 – 26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высокая</w:t>
            </w:r>
          </w:p>
        </w:tc>
      </w:tr>
      <w:tr w:rsidR="0073613F" w:rsidRPr="0073613F" w:rsidTr="0073613F">
        <w:tc>
          <w:tcPr>
            <w:tcW w:w="411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более 26</w:t>
            </w:r>
          </w:p>
        </w:tc>
        <w:tc>
          <w:tcPr>
            <w:tcW w:w="411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  <w:szCs w:val="19"/>
              </w:rPr>
              <w:t>очень высокая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Однако в этой формуле при оценке опасности осолонцевания не учитываются резервы Са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2+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 имеющиеся в почве. Поэтому в некоторых лабораториях США и других странах используются модификации этой формулы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приложение 10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).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По данной работе необходимо рассчитать опасность осолонцевания двумя методами и результаты оформить в виде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560"/>
        <w:gridCol w:w="1559"/>
        <w:gridCol w:w="1134"/>
        <w:gridCol w:w="2375"/>
      </w:tblGrid>
      <w:tr w:rsidR="0073613F" w:rsidRPr="0073613F" w:rsidTr="0073613F">
        <w:tc>
          <w:tcPr>
            <w:tcW w:w="124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Вариант</w:t>
            </w:r>
          </w:p>
        </w:tc>
        <w:tc>
          <w:tcPr>
            <w:tcW w:w="1701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Содержание ионов, 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мг-экв/л</w:t>
            </w:r>
          </w:p>
        </w:tc>
        <w:tc>
          <w:tcPr>
            <w:tcW w:w="4253" w:type="dxa"/>
            <w:gridSpan w:val="3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Коэффициент</w:t>
            </w:r>
          </w:p>
        </w:tc>
        <w:tc>
          <w:tcPr>
            <w:tcW w:w="2375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Заключение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 пригодности </w:t>
            </w:r>
            <w:r w:rsidRPr="007361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воды для орошения</w:t>
            </w:r>
          </w:p>
        </w:tc>
      </w:tr>
      <w:tr w:rsidR="0073613F" w:rsidRPr="0073613F" w:rsidTr="0073613F">
        <w:tc>
          <w:tcPr>
            <w:tcW w:w="1242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ирригаци-</w:t>
            </w: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онный (У)</w:t>
            </w: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ионного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обмена (К)</w:t>
            </w: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SAR</w:t>
            </w:r>
          </w:p>
        </w:tc>
        <w:tc>
          <w:tcPr>
            <w:tcW w:w="2375" w:type="dxa"/>
            <w:vMerge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  <w:tr w:rsidR="0073613F" w:rsidRPr="0073613F" w:rsidTr="0073613F">
        <w:tc>
          <w:tcPr>
            <w:tcW w:w="124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  <w:tr w:rsidR="0073613F" w:rsidRPr="0073613F" w:rsidTr="0073613F">
        <w:tc>
          <w:tcPr>
            <w:tcW w:w="124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Выводы.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Задание для самостоятельной работы №5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Ознакомиться с существующими классификациями оросительной воды (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приложение 1, 2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).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iCs/>
          <w:color w:val="000000"/>
          <w:sz w:val="28"/>
          <w:szCs w:val="20"/>
          <w:lang w:eastAsia="ru-RU"/>
        </w:rPr>
        <w:t>2.</w:t>
      </w:r>
      <w:r w:rsidRPr="0073613F">
        <w:rPr>
          <w:rFonts w:ascii="Times New Roman" w:eastAsia="Times New Roman" w:hAnsi="Times New Roman"/>
          <w:iCs/>
          <w:color w:val="000000"/>
          <w:sz w:val="28"/>
          <w:szCs w:val="20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Изучить классификацию солеустойчивости сельскохозяйственных культур.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РАБОТА 8.  ДИАГНОСТИКА СРОКОВ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ПОЛИВА СЕЛЬСКОХОЗЯЙСТВЕННЫХ КУЛЬТУР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lang w:eastAsia="ru-RU"/>
        </w:rPr>
        <w:t>Определение срока полива по запасам доступной влаги.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Доступной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(продуктивной)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называют ту часть общей почвенной влаги, которая может быть использована растениями в процессе жизнедеятельности и участвует в формирования урожая. Это вся влага, которая поглощается за счет сосущей силы корневой системы растений.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Каждая культура даже в пределах одной сельскохозяйственной группы обладает биологическими особенностями, поэтому по степени использования доступной влаги </w:t>
      </w:r>
      <w:r w:rsidRPr="0073613F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все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культуры делятся на четыре группы: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первой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группе отнесены – лук, перец, картофель;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ко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второй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бананы, виноград, капуста, горох, томаты;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третьей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люцерна, фасоль, арахис, пшеница, арбузы, подсолнечник, ананасы, цитрусовые;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Pr="0073613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четвертой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– хлопчатник, кукуруза, сорго, соя, свекла сахарная, табак. </w:t>
      </w:r>
    </w:p>
    <w:p w:rsidR="0073613F" w:rsidRPr="0073613F" w:rsidRDefault="0073613F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зависимости от группы введен специальный коэффициент исполь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softHyphen/>
        <w:t>зования почвенной влаги при определенной эвапотранспирации.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276" w:hanging="127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Таблица –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>Коэффициент использования почвенной влаги (К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vertAlign w:val="subscript"/>
          <w:lang w:eastAsia="ru-RU"/>
        </w:rPr>
        <w:t>р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 в зависимости от группы культур и величины максимальной эвапотранспирации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162"/>
        <w:gridCol w:w="910"/>
        <w:gridCol w:w="910"/>
        <w:gridCol w:w="911"/>
        <w:gridCol w:w="910"/>
        <w:gridCol w:w="911"/>
        <w:gridCol w:w="910"/>
        <w:gridCol w:w="911"/>
        <w:gridCol w:w="910"/>
        <w:gridCol w:w="911"/>
      </w:tblGrid>
      <w:tr w:rsidR="0073613F" w:rsidRPr="0073613F" w:rsidTr="0073613F">
        <w:tc>
          <w:tcPr>
            <w:tcW w:w="1162" w:type="dxa"/>
            <w:vMerge w:val="restart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Группа</w:t>
            </w:r>
          </w:p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культур</w:t>
            </w:r>
          </w:p>
        </w:tc>
        <w:tc>
          <w:tcPr>
            <w:tcW w:w="8194" w:type="dxa"/>
            <w:gridSpan w:val="9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ind w:left="-13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ЕТ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  <w:vertAlign w:val="subscript"/>
              </w:rPr>
              <w:t>М</w:t>
            </w:r>
            <w:r w:rsidRPr="0073613F">
              <w:rPr>
                <w:rFonts w:ascii="Times New Roman" w:eastAsia="Times New Roman" w:hAnsi="Times New Roman"/>
                <w:color w:val="000000"/>
                <w:sz w:val="28"/>
              </w:rPr>
              <w:t>, мм/дн</w:t>
            </w:r>
          </w:p>
        </w:tc>
      </w:tr>
      <w:tr w:rsidR="0073613F" w:rsidRPr="0073613F" w:rsidTr="0073613F">
        <w:trPr>
          <w:trHeight w:val="330"/>
        </w:trPr>
        <w:tc>
          <w:tcPr>
            <w:tcW w:w="1162" w:type="dxa"/>
            <w:vMerge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6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03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-136" w:right="-184"/>
              <w:jc w:val="center"/>
              <w:rPr>
                <w:b/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0,200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0,200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0,175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0,625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0,576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0,475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0,400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0,325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0,225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53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0,700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0,600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0,350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</w:tr>
      <w:tr w:rsidR="0073613F" w:rsidRPr="0073613F" w:rsidTr="0073613F">
        <w:tc>
          <w:tcPr>
            <w:tcW w:w="1162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0,875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0,800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0,700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0,600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0,500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0,450</w:t>
            </w:r>
          </w:p>
        </w:tc>
        <w:tc>
          <w:tcPr>
            <w:tcW w:w="910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0,425</w:t>
            </w:r>
          </w:p>
        </w:tc>
        <w:tc>
          <w:tcPr>
            <w:tcW w:w="911" w:type="dxa"/>
            <w:vAlign w:val="center"/>
          </w:tcPr>
          <w:p w:rsidR="0073613F" w:rsidRPr="0073613F" w:rsidRDefault="0073613F" w:rsidP="0073613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3613F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Естественно, что запасы доступной влаги в корнеобитаемом слое зависят от типа почвы и от глубины проникновения корневой системы растений. </w:t>
      </w:r>
      <w:r w:rsidRPr="0073613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 примеру, используя данные по величине ЕТ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>М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(например, 10), запасам доступной влаги 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W</w:t>
      </w:r>
      <w:r w:rsidRPr="0073613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П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= 170 мм), можем рассчитать для хлопчатника (4 группа) период расхода доступной влаги:</w:t>
      </w:r>
    </w:p>
    <w:p w:rsidR="0073613F" w:rsidRPr="0073613F" w:rsidRDefault="00D93A56" w:rsidP="00736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П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ЕТ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М</m:t>
                </m:r>
              </m:sub>
            </m:sSub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170∙0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7</m:t>
        </m:r>
        <m:r>
          <m:rPr>
            <m:sty m:val="b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дней</m:t>
        </m:r>
      </m:oMath>
      <w:r w:rsidR="0073613F" w:rsidRPr="0073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Оформление расчетов приводят по следующей схеме:</w:t>
      </w:r>
    </w:p>
    <w:tbl>
      <w:tblPr>
        <w:tblStyle w:val="a9"/>
        <w:tblW w:w="0" w:type="auto"/>
        <w:tblLook w:val="04A0"/>
      </w:tblPr>
      <w:tblGrid>
        <w:gridCol w:w="5920"/>
        <w:gridCol w:w="1217"/>
        <w:gridCol w:w="1217"/>
        <w:gridCol w:w="1217"/>
      </w:tblGrid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17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Максимальная эвапотранспирация ЕТ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 xml:space="preserve">М,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мм/дн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Коэффициент использования почвенной влаги Кр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73613F" w:rsidRPr="0073613F" w:rsidTr="0073613F">
        <w:tc>
          <w:tcPr>
            <w:tcW w:w="592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Период расхода доступной влаги Т, дн.</w:t>
            </w: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217" w:type="dxa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  <w:t>Определение срока полива с помощью биофизических коэффициентов (предложено Г.К. Льговым)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Для определения срока очередного вегетационного полива опыт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ным путем по периодам развития культур устанавливают биофизичес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кий коэффициент (К), то есть расход воды на 1°С в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/га. На Северном Кавказе для большинства культур в среднем равен 1,88 м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 xml:space="preserve">/га на 1°С. 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19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Зная исходный запас почвенной влаги и имея прогноз среднесу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точных температур воздуха для данного периода, можно заблаговре</w:t>
      </w:r>
      <w:r w:rsidRPr="0073613F"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softHyphen/>
        <w:t>менно определить срок полива культуры по формуле: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Т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8"/>
              <w:szCs w:val="19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8"/>
                  <w:szCs w:val="19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19"/>
                      <w:lang w:val="en-US" w:eastAsia="ru-RU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П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19"/>
                      <w:lang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19"/>
                      <w:lang w:eastAsia="ru-RU"/>
                    </w:rPr>
                    <m:t>Р∙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8"/>
                          <w:szCs w:val="19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val="en-US" w:eastAsia="ru-RU"/>
                        </w:rPr>
                        <m:t>К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19"/>
                          <w:lang w:eastAsia="ru-RU"/>
                        </w:rPr>
                        <m:t>а</m:t>
                      </m: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19"/>
                  <w:lang w:eastAsia="ru-RU"/>
                </w:rPr>
                <m:t>К∙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19"/>
                  <w:lang w:val="en-US" w:eastAsia="ru-RU"/>
                </w:rPr>
                <m:t>t</m:t>
              </m:r>
            </m:den>
          </m:f>
        </m:oMath>
      </m:oMathPara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где: 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Т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время, в течение которого может быть израсходована на испарение допустимая норма воды, сутки;</w:t>
      </w:r>
    </w:p>
    <w:p w:rsidR="0073613F" w:rsidRPr="0073613F" w:rsidRDefault="00D93A56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lang w:eastAsia="ru-RU"/>
              </w:rPr>
              <m:t>П</m:t>
            </m:r>
          </m:sub>
        </m:sSub>
      </m:oMath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–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запас доступной влаги в корнеобитаемом слое (при допустимом пороге иссушения), м</w:t>
      </w:r>
      <w:r w:rsidR="0073613F"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="0073613F"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>сумма осадков,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/га;</w:t>
      </w:r>
    </w:p>
    <w:p w:rsidR="0073613F" w:rsidRPr="0073613F" w:rsidRDefault="0073613F" w:rsidP="0073613F">
      <w:p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73613F">
        <w:rPr>
          <w:rFonts w:ascii="Times New Roman" w:eastAsia="Times New Roman" w:hAnsi="Times New Roman"/>
          <w:color w:val="000000"/>
          <w:sz w:val="28"/>
          <w:vertAlign w:val="subscript"/>
          <w:lang w:eastAsia="ru-RU"/>
        </w:rPr>
        <w:t xml:space="preserve">а 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L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)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коэффициент использования осадков, равный 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0,6-0,7; </w:t>
      </w:r>
    </w:p>
    <w:p w:rsidR="0073613F" w:rsidRPr="0073613F" w:rsidRDefault="0073613F" w:rsidP="0073613F">
      <w:pPr>
        <w:shd w:val="clear" w:color="auto" w:fill="FFFFFF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       –</w:t>
      </w:r>
      <w:r w:rsidRPr="0073613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ab/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расход воды на 1°С для данного периода развития растений, для основных культур составляет от 1,3 до 2,7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1°С, для риса  3,5-4,0 м</w:t>
      </w:r>
      <w:r w:rsidRPr="0073613F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>3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/га на 1°С;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98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val="en-US" w:eastAsia="ru-RU"/>
        </w:rPr>
        <w:t>t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–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среднесуточная температура (по прогнозу), </w:t>
      </w:r>
      <w:r w:rsidRPr="007361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</w:t>
      </w: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С.</w:t>
      </w:r>
    </w:p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613F">
        <w:rPr>
          <w:rFonts w:ascii="Times New Roman" w:eastAsia="Times New Roman" w:hAnsi="Times New Roman"/>
          <w:color w:val="000000"/>
          <w:sz w:val="28"/>
          <w:lang w:eastAsia="ru-RU"/>
        </w:rPr>
        <w:t>Расчеты по данной методике приводят по следующей схеме:</w:t>
      </w:r>
    </w:p>
    <w:tbl>
      <w:tblPr>
        <w:tblStyle w:val="a9"/>
        <w:tblW w:w="0" w:type="auto"/>
        <w:tblLook w:val="04A0"/>
      </w:tblPr>
      <w:tblGrid>
        <w:gridCol w:w="6062"/>
        <w:gridCol w:w="1169"/>
        <w:gridCol w:w="1170"/>
        <w:gridCol w:w="1170"/>
      </w:tblGrid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Запасы доступной влаги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W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П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Сумма осадков  Р, мм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Коэффициент использования осадков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0,6-0,7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Расход воды на 1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 для данного периода развития культуры, м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/га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1,3-2,7</w:t>
            </w: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Среднесуточная температура 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73613F">
              <w:rPr>
                <w:rFonts w:ascii="Times New Roman" w:eastAsia="Times New Roman" w:hAnsi="Times New Roman" w:cs="Times New Roman"/>
                <w:sz w:val="26"/>
                <w:szCs w:val="26"/>
              </w:rPr>
              <w:t>°</w:t>
            </w: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 xml:space="preserve"> С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613F" w:rsidRPr="0073613F" w:rsidTr="0073613F">
        <w:tc>
          <w:tcPr>
            <w:tcW w:w="6062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613F">
              <w:rPr>
                <w:rFonts w:ascii="Times New Roman" w:eastAsia="Times New Roman" w:hAnsi="Times New Roman"/>
                <w:sz w:val="26"/>
                <w:szCs w:val="26"/>
              </w:rPr>
              <w:t>Время на испарение допустимой нормы воды Т, сут.</w:t>
            </w:r>
          </w:p>
        </w:tc>
        <w:tc>
          <w:tcPr>
            <w:tcW w:w="1169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73613F" w:rsidRPr="0073613F" w:rsidRDefault="0073613F" w:rsidP="00736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3613F" w:rsidRPr="0073613F" w:rsidRDefault="0073613F" w:rsidP="007361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4A3540" w:rsidP="0073613F">
      <w:pPr>
        <w:spacing w:before="480" w:after="480" w:line="240" w:lineRule="auto"/>
        <w:ind w:left="720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РАБОТА 9</w:t>
      </w:r>
      <w:r w:rsidR="0073613F" w:rsidRPr="0073613F">
        <w:rPr>
          <w:rFonts w:ascii="Times New Roman" w:eastAsiaTheme="minorEastAsia" w:hAnsi="Times New Roman"/>
          <w:sz w:val="28"/>
          <w:szCs w:val="28"/>
          <w:lang w:eastAsia="ru-RU"/>
        </w:rPr>
        <w:t>. ПОЧВЕННО-АГРОЭКОЛОГИЧЕСКОЕ РАЙОНИРОВАНИЕ СЕЛЬСКОХОЗЯЙСТВЕННЫХ ЗЕМЕЛЬ РОССИИ</w:t>
      </w:r>
    </w:p>
    <w:p w:rsidR="0073613F" w:rsidRPr="0073613F" w:rsidRDefault="0073613F" w:rsidP="0073613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Почвенно-агроэкологическое районирование</w:t>
      </w:r>
      <w:r w:rsidRPr="0073613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это типизация сельскохозяйственных земель, основанная на оценке почвенно-климатических показателей, свойств и процессов, лимитирующих плодородие почв и характеризующих экологическое состояние агросистем.</w:t>
      </w:r>
    </w:p>
    <w:p w:rsidR="0073613F" w:rsidRPr="0073613F" w:rsidRDefault="0073613F" w:rsidP="0073613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1998 г. в журнале «Экология» Е.И. Панкова, А.Ф. Новикова опубликовали результаты почвенно-агроэкологического районирования территории РФ. Авторы разработали карту почвенно-агроэкологического районирования РФ, используя различные почвенно-картографические материалы.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итоге на карте почвенно-агроэкологичского районирования в пределах равнинных и горных территорий выделены: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–земли сельскохозяйственных угодий;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–орошаемые земли;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–земли гослесфонда, среди которых особым знаком отмечены сильно заболоченные леса; 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–даны границы областей, краев и республик России;</w:t>
      </w:r>
    </w:p>
    <w:p w:rsidR="0073613F" w:rsidRPr="0073613F" w:rsidRDefault="0073613F" w:rsidP="0073613F">
      <w:pPr>
        <w:shd w:val="clear" w:color="auto" w:fill="FFFFFF"/>
        <w:tabs>
          <w:tab w:val="left" w:pos="4342"/>
        </w:tabs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–в пределах равнин выделены почвенно-агроэкологические пояса, зоны, провинции и категории земель, а также группы земель, различающиеся по интенсивности проявления деградационных процессов. </w:t>
      </w:r>
    </w:p>
    <w:p w:rsidR="0073613F" w:rsidRPr="0073613F" w:rsidRDefault="0073613F" w:rsidP="0073613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Агроэкологический пояс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объединяет территории, характеризуемые комплексом природных условий, определяющих направленность сельскохозяйственного производства, а также развитие главного для данной территории процесса, лимитирующего плодородие почв.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Почвенно-агроэкологические зоны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характеризуются специфическим комплексом почвенно-климатических условий, определяемых балансом тепла и влаги, особенностями почвообразования, а также направленностью сельскохозяйственного производства. Для каждой зоны характерны определенные деградационные почвенные процессы и свойства, лимитирующие плодородие почв, а также различная степень их проявления, что</w:t>
      </w: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в конечном итоге и определяет зональный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комплекс мелиоративных мероприятий.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Почвенио-агроэкологическая провинция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часть зоны, характеризуемая фациальными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особенностями почвенного покрова, определяемо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прежде всего особенностями теплового и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водного режимов, влияющих на специфику развит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ия свойств и процессов, лимитирующих плодо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родие почв.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Почвенно-агроэкологическая категория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объедин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яет земли по деградационным процессам и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свойствам, лимитирующим плодородие почв. </w:t>
      </w:r>
    </w:p>
    <w:p w:rsidR="0073613F" w:rsidRPr="0073613F" w:rsidRDefault="0073613F" w:rsidP="0073613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Почвенно-агроэкологические категории зем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ель разделены на группы по степени выраженности свойств и процессов, лимитирующих плодо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родие почв. При выделении групп учитывали 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три уровня проявления основного лимитирующего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процесса (слабое, среднее, сильное).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3613F" w:rsidRPr="0073613F" w:rsidSect="004A3540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ПОЧВЕННО-АГРОЭКОЛОГИЧЕСКИХ ПОЯСОВ И ЗОН РФ</w:t>
      </w:r>
    </w:p>
    <w:tbl>
      <w:tblPr>
        <w:tblStyle w:val="13"/>
        <w:tblW w:w="15134" w:type="dxa"/>
        <w:tblLayout w:type="fixed"/>
        <w:tblLook w:val="04A0"/>
      </w:tblPr>
      <w:tblGrid>
        <w:gridCol w:w="2376"/>
        <w:gridCol w:w="4253"/>
        <w:gridCol w:w="3118"/>
        <w:gridCol w:w="2268"/>
        <w:gridCol w:w="3119"/>
      </w:tblGrid>
      <w:tr w:rsidR="0073613F" w:rsidRPr="0073613F" w:rsidTr="0073613F">
        <w:tc>
          <w:tcPr>
            <w:tcW w:w="2376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АГРОЭКОЛОГИЧЕСКИЕ ПОЯСА</w:t>
            </w:r>
          </w:p>
        </w:tc>
        <w:tc>
          <w:tcPr>
            <w:tcW w:w="4253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ПОЧВЕННО-АГРОЭКОЛОГИЧЕСКИЕ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ЗОНЫ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ПОЧВЕННО-АГРОЭКОЛОГИЧЕСКИЕ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ПРОВИНЦИИ</w:t>
            </w:r>
          </w:p>
        </w:tc>
        <w:tc>
          <w:tcPr>
            <w:tcW w:w="226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ПОЧВЕННО-АГРОЭКОЛОГИЧЕСКИЕ КАТЕГОРИИ</w:t>
            </w:r>
          </w:p>
        </w:tc>
        <w:tc>
          <w:tcPr>
            <w:tcW w:w="3119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ПРОЦЕССЫ, ЛИМИТИРУЮЩИЕ ПЛОДОРОДИЕ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МЕЛИОРАТИВНЫЕ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73613F" w:rsidRPr="0073613F" w:rsidTr="0073613F"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ПОЯС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ПЕРЕУВЛАЖНЕННЫХ И КИСЛЫХ ПОЧВ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(ПРЕИМУЩЕСТ</w:t>
            </w: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 БОЛОТНЫХ, БОЛОТНО-ПОДЗОЛИСТЫХ И 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ПОДЗО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ЛИСТЫХ)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полярно-тундровая зона с преобладанием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арктических и тундровых переувлажненных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почв. 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2268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Выделены для всех 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Основными свойствами и процес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сами, лимитирующими плодородие почв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являются переувлажненность в сочетании с кислотностью, в автоморфных условиях локальная эродированность, а на пойменных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землях паводковое затопление. Все процессы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проявляются на фоне низкой теплообеспеченност</w:t>
            </w:r>
            <w:r w:rsidRPr="007361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и, дефицит тепла возрастает в направле</w:t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нии с запада на восток.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Комплекс мелиоративных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мероприятий  на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правлен на регулирование теплового и водного режимов почв (снижение увлажнения и повышение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теплобеспеченности), уменьшение кислотности 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почв. На эродированных землях необходимо про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ведение биомелиораций - восстановление лесов</w:t>
            </w:r>
          </w:p>
        </w:tc>
      </w:tr>
      <w:tr w:rsidR="0073613F" w:rsidRPr="0073613F" w:rsidTr="0073613F">
        <w:trPr>
          <w:trHeight w:val="20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А-П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 северо-таежная зона очагового земле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делия и животноводства, с господством переув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лажненных кислых (глееподзолистых и болот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ных), длительно промерзающих и мерзлотных 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почв.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Европейская 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Северо-Восточная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А-П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4</w:t>
            </w:r>
            <w:r w:rsidRPr="0073613F">
              <w:rPr>
                <w:rFonts w:ascii="Times New Roman" w:hAnsi="Times New Roman" w:cs="Times New Roman"/>
                <w:sz w:val="23"/>
                <w:szCs w:val="23"/>
              </w:rPr>
              <w:t xml:space="preserve">  – Камчатская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А-Ш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среднетаежная зона мясо-молочного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животноводства и очагового земледелия, с преоб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ладанием переувлажненных и не переувлажнен</w:t>
            </w:r>
            <w:r w:rsidRPr="007361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кислых почв (подзолистых и подзолисто-болотных, болотных, мерзлотно-таежных, палевых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мерзлотных), с локальным проявлением эрозии в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автоморфных условиях и засоления - в гидро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морфных.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Европейская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2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3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right="-108"/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А-Ш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Центрально-Якутская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южнотаежная зона развитого мясо-мо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лочного животноводства и земледелия, с преоб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ладанием кислых непереувлажненных и переув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лажненных почв (дерново-подзолистых, таеж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ных, палевых, глееватых, подзолисто-болотных и болотных), с локальным проявлением эрозии*, засоления, солонцеватости.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Прибалтийская (восточная)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5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Дальневосточно-Сахалинская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A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IV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6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Дальневосточно-Амуро-Уссурийская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419"/>
        </w:trPr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ПОЯС </w:t>
            </w: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ВЫСОКОГУМУСНЫХ ПОЧВ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ДОСТА</w:t>
            </w:r>
            <w:r w:rsidRPr="007361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ТОЧНОГО ИЛИ НЕДОСТАТОЧНОГО УВЛАЖНЕНИЯ, СРЕДНЕ 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ОБЕСПЕЧЕННЫХ ТЕПЛОМ,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СЛАБОКИСЛЫХ И НЕЙТРАЛЬ</w:t>
            </w:r>
            <w:r w:rsidRPr="007361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НЫХ, С ГОСПОДСТВОМ СЕРЫХ ЛЕСНЫХ И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ЧЕРНОЗЕМНЫХ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ЭРОДИРОВАННЫХ И ДЕФЛИРОВАННЫХ ПОЧВ,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 ПРОЯВ</w:t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ЛЕНИЕМ В ГИДРОМОРФНЫХ И ПОЛУГИДРОМОРФНЫХ УС</w:t>
            </w: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ЛОВИЯХ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ЗАСОЛЕНИЯ</w:t>
            </w: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СОЛОНЦЕВАТОСТИ</w:t>
            </w:r>
          </w:p>
        </w:tc>
        <w:tc>
          <w:tcPr>
            <w:tcW w:w="4253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лесостепная, интенсивного земледе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лия и мясо-молочного животноводства, с господст</w:t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вом высокогумусных и с повышенным содержани</w:t>
            </w:r>
            <w:r w:rsidRPr="007361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 гумуса почв (черноземы оподзоленные, выще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лоченные, типичные, лугово-черноземные, серые,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бурые лесные), слабокислых и нейтральных, пре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имущественно эродированных, реже дефлирован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ных, с проявлением слитогенеза; в гидроморфных </w:t>
            </w:r>
            <w:r w:rsidRPr="007361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условиях - засоленных, солонцеватых почв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lastRenderedPageBreak/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  <w:vertAlign w:val="subscript"/>
              </w:rPr>
              <w:t xml:space="preserve">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Выделены для всех 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lastRenderedPageBreak/>
              <w:t>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14"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Основными процессами,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лимитирующими плодородие почв, являются эрозия и дефляция в автоморфных условиях и за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соление и солонцеватость - в полугидроморфных и гидроморфных, а также периодический дефи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цит влаги.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Против эрозии и дефляции основным является комплекс биоме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лиоративных мероприятий. На территориях, подверженных процессам засоления и солонцеватости используют био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мелиорацию (посев соле- и солонцеустойчивых культур), при экономической целесообразности проводят агротехнические и гидротехнические мероприятия</w:t>
            </w:r>
          </w:p>
        </w:tc>
      </w:tr>
      <w:tr w:rsidR="0073613F" w:rsidRPr="0073613F" w:rsidTr="0073613F">
        <w:trPr>
          <w:trHeight w:val="70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spacing w:val="-5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Предуральская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8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 – Западно-Сибирская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9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right="-108" w:hanging="742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4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– Сибирско-Предалтайская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96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lang w:val="en-US"/>
              </w:rPr>
              <w:t>V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vertAlign w:val="subscript"/>
              </w:rPr>
              <w:t>5</w:t>
            </w:r>
            <w:r w:rsidRPr="0073613F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5"/>
                <w:sz w:val="23"/>
                <w:szCs w:val="23"/>
              </w:rPr>
              <w:t>Среднесибирская</w:t>
            </w:r>
          </w:p>
        </w:tc>
        <w:tc>
          <w:tcPr>
            <w:tcW w:w="2268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13F" w:rsidRPr="0073613F" w:rsidTr="0073613F">
        <w:trPr>
          <w:trHeight w:val="277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 степная, интенсивного зернового </w:t>
            </w:r>
            <w:r w:rsidRPr="007361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земледелия и мясо-молочного живoт-нoвoдства с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господством высокогумусных почв, недостаточ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ной влагообеспеченности (черноземы </w:t>
            </w:r>
            <w:r w:rsidRPr="0073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быкно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венные, южные, лугово-черно-земные), эродированных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дефлированных, с распространением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гидроморфных и полугидроморфных условно </w:t>
            </w:r>
            <w:r w:rsidRPr="007361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засоленных и засоленных солонцовых (содовых, нейтральных) почв и комплексов с солонцами.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Прибалтийская (восточная)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332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2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Среднерусская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477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3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Западно-Сибирская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513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4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Среднесибирская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563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 xml:space="preserve">5 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>– Дальневосточно-Сахалинская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685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742" w:hanging="74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</w:rPr>
              <w:t>Б-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lang w:val="en-US"/>
              </w:rPr>
              <w:t>VI</w:t>
            </w:r>
            <w:r w:rsidRPr="0073613F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vertAlign w:val="subscript"/>
              </w:rPr>
              <w:t>6</w:t>
            </w:r>
            <w:r w:rsidRPr="0073613F">
              <w:rPr>
                <w:rFonts w:ascii="Times New Roman" w:hAnsi="Times New Roman" w:cs="Times New Roman"/>
                <w:bCs/>
                <w:spacing w:val="-3"/>
                <w:sz w:val="23"/>
                <w:szCs w:val="23"/>
              </w:rPr>
              <w:t xml:space="preserve"> – Дальневосточно-Амуро-Уссурийская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rPr>
          <w:trHeight w:val="857"/>
        </w:trPr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736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ПОЯС  ЗАСОЛЕННЫХ И ЗАСОЛЕННО-СОЛОНЦОВЫХ ПОЧВ (НЕЙТРАЛЬНЫХ) НИЗКОЙ ВЛАГООБЕСПЕЧЕННОСТИ, С ПРОЯВЛЕНИЕМ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73613F">
              <w:rPr>
                <w:rFonts w:ascii="Times New Roman" w:hAnsi="Times New Roman" w:cs="Times New Roman"/>
                <w:sz w:val="20"/>
                <w:szCs w:val="20"/>
              </w:rPr>
              <w:softHyphen/>
              <w:t>ФЛЯЦИИ</w:t>
            </w:r>
          </w:p>
        </w:tc>
        <w:tc>
          <w:tcPr>
            <w:tcW w:w="4253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2"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- сухостепная зона богарного и орошае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земледелия, интенсивного животноводства, с широким распространением незасоленных и по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тенциально засоленных (темно-каштановых и ка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  <w:t>штановых), а также засоленно-солонцовых почв (преимущественно нейтрально-засоленных) и их комплексов с солонцами.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ind w:left="884" w:hanging="88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1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Манычско-Донская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4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Пояс В характеризуется резким дефицитом влаги и широким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развитием двух процессов, лимитирующих плодо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родие почв: засолением и солонцеватостью. Кроме того, широко развит и процесс дефляции.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улучшения свойств почв в пределах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пояса В и повышения их плодородия может ре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шаться за счет подбора засухоустойчивых, соле- и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солонцеустойчивых культур, а также проведения комплекса агротехнических и гидротехнических мелиорации.</w:t>
            </w:r>
          </w:p>
        </w:tc>
      </w:tr>
      <w:tr w:rsidR="0073613F" w:rsidRPr="0073613F" w:rsidTr="0073613F">
        <w:trPr>
          <w:trHeight w:val="809"/>
        </w:trPr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2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Заволжская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VII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 xml:space="preserve">3 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Казахстанская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 w:val="restart"/>
            <w:vAlign w:val="center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 xml:space="preserve">ПОЯС  ЗАСОЛЕННЫХ И ЗАСОЛЕННО-СОЛОНЦОВЫХ ПОЧВ (НЕЙТРАЛЬНЫХ) НИЗКОЙ ВЛАГООБЕСПЕЧЕННОСТИ, С ПРОЯВЛЕНИЕМ 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7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ДЕФЛЯЦИИ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6" w:right="1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полупустынная, интенсивного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вотноводства и выборочного земледелия, преимущественно орошаемого, с широким распространением засоленных и засоленно-солонцовых почв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(светло-каштановых и бурых полупустынных) и их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с солонцами, солончаками, значительным распространением дефляции. В пределах зоны выделена одна провинция. </w:t>
            </w:r>
          </w:p>
        </w:tc>
        <w:tc>
          <w:tcPr>
            <w:tcW w:w="3118" w:type="dxa"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2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5" w:right="1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36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полупустынная, интенсивного жи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вотноводства и выборочного орошаемого земледелия, с широким распространением засоленных и засоленно-солонцовых почв </w:t>
            </w:r>
            <w:r w:rsidRPr="00736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(светло-каштановых и бурых полупустынных) и их 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комплексов с солонцами, солончаками, значительным распространением дефляции.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lang w:val="en-US"/>
              </w:rPr>
              <w:t>VIII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pacing w:val="-1"/>
                <w:sz w:val="23"/>
                <w:szCs w:val="23"/>
              </w:rPr>
              <w:t>Прикаспийская</w:t>
            </w:r>
          </w:p>
        </w:tc>
        <w:tc>
          <w:tcPr>
            <w:tcW w:w="2268" w:type="dxa"/>
            <w:vMerge w:val="restart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Выделены по ведущему деградационному процессу: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1 – переувлаж</w:t>
            </w: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нённые;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2 – кислые не переувлажненные;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284"/>
              <w:jc w:val="both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3 – кислые пе</w:t>
            </w: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реувлажненные;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4 – эродированные;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3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5 – дефлирова</w:t>
            </w: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6 – сочетание дефлированных и эродирова</w:t>
            </w: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нных;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6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7 – засоленные;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left="318" w:right="6" w:hanging="318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8 – засоленно-солонцовые;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9 – </w:t>
            </w:r>
            <w:r w:rsidRPr="0073613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пойменные.</w:t>
            </w: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 xml:space="preserve"> - пустынная, интенсивного животноводства и орошаемого земледелия, с распространением засоленных и дефлированных почв (бурых полупустынных, солончаков, солончаковых солонцов, песков). Характерна дефляция; влагообеспеченность почв крайне низкая.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IX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  <w:vertAlign w:val="subscript"/>
              </w:rPr>
              <w:t>1</w:t>
            </w:r>
            <w:r w:rsidRPr="007361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r w:rsidRPr="0073613F">
              <w:rPr>
                <w:rFonts w:ascii="Times New Roman" w:hAnsi="Times New Roman" w:cs="Times New Roman"/>
                <w:bCs/>
                <w:sz w:val="23"/>
                <w:szCs w:val="23"/>
              </w:rPr>
              <w:t>Арало-Каспийская</w:t>
            </w:r>
          </w:p>
        </w:tc>
        <w:tc>
          <w:tcPr>
            <w:tcW w:w="2268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613F" w:rsidRPr="0073613F" w:rsidRDefault="0073613F" w:rsidP="0073613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13F" w:rsidRPr="0073613F" w:rsidTr="0073613F">
        <w:tc>
          <w:tcPr>
            <w:tcW w:w="2376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3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ГОРНЫЕ</w:t>
            </w:r>
          </w:p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0"/>
                <w:szCs w:val="20"/>
              </w:rPr>
              <w:t>ПОЯС ОЧАГОВОГО ЗЕМЛЕДЕЛИЯ</w:t>
            </w:r>
          </w:p>
        </w:tc>
        <w:tc>
          <w:tcPr>
            <w:tcW w:w="4253" w:type="dxa"/>
          </w:tcPr>
          <w:p w:rsidR="0073613F" w:rsidRPr="0073613F" w:rsidRDefault="0073613F" w:rsidP="0073613F">
            <w:pPr>
              <w:widowControl w:val="0"/>
              <w:shd w:val="clear" w:color="auto" w:fill="FFFFFF"/>
              <w:spacing w:line="240" w:lineRule="exact"/>
              <w:ind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sz w:val="24"/>
                <w:szCs w:val="24"/>
              </w:rPr>
              <w:t>Климат, почвенный покров и факторы, лимитирующие плодородие горных почв, на карте М 1 : 4000000 не дифференцированы из-за малых площадей сельскохозяйственных угодий</w:t>
            </w:r>
          </w:p>
        </w:tc>
        <w:tc>
          <w:tcPr>
            <w:tcW w:w="311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2268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  <w:tc>
          <w:tcPr>
            <w:tcW w:w="3119" w:type="dxa"/>
            <w:vAlign w:val="center"/>
          </w:tcPr>
          <w:p w:rsidR="0073613F" w:rsidRPr="0073613F" w:rsidRDefault="0073613F" w:rsidP="0073613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</w:t>
            </w:r>
          </w:p>
        </w:tc>
      </w:tr>
    </w:tbl>
    <w:p w:rsidR="0073613F" w:rsidRPr="0073613F" w:rsidRDefault="0073613F" w:rsidP="0073613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36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ectPr w:rsidR="0073613F" w:rsidRPr="0073613F" w:rsidSect="007361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3613F" w:rsidRPr="0073613F" w:rsidRDefault="0073613F" w:rsidP="0073613F">
      <w:pPr>
        <w:shd w:val="clear" w:color="auto" w:fill="FFFFFF"/>
        <w:spacing w:after="0"/>
        <w:ind w:right="3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Карта почвенно-агроэкологического районирования – это основа для разработки комплексных мероприятий по рациональному использованию и улучшению сельскохозяйственных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земель. Анализ материалов, приведенных на карте, позволяет констатировать, что: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категории кислых (не переувлажненных и переувлажненных) почв достигают 100 млн. га;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категории переувлажненных почв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(кислых, нейтральных, без учета пойменных) составляет 19,1 млн. га, или 8,6 % от плошади с.-х. земель;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категория эродированных и дефлированных почв по материалам составителей Почвенно-эрозионной карты (1990), базирующихся на данных Росземпроекта, составляет 63 млн. га (28,7 % с.-х. угодий). Сильная пораженность сельскохозяйственных земель эрози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ей и дефляцией отмечается на Северном Кавказе (более 50 %), в Поволжье (37,5%), на Урале (29 %);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категории засоленных и засоленно-солонцовых почв занимают 39,2 млн. га (18 % с.-х. угодий), при этом собственно засо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ленные почвы составляют 7 %, а засоленно-солонцовые – 11 %; </w:t>
      </w:r>
    </w:p>
    <w:p w:rsidR="0073613F" w:rsidRPr="0073613F" w:rsidRDefault="0073613F" w:rsidP="0073613F">
      <w:pPr>
        <w:shd w:val="clear" w:color="auto" w:fill="FFFFFF"/>
        <w:spacing w:after="0"/>
        <w:ind w:left="709" w:right="2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категория пойменных почв составляет 6,6 млн. га (3% с.-х. угодий).</w:t>
      </w:r>
    </w:p>
    <w:p w:rsidR="0073613F" w:rsidRPr="0073613F" w:rsidRDefault="0073613F" w:rsidP="0073613F">
      <w:pPr>
        <w:shd w:val="clear" w:color="auto" w:fill="FFFFFF"/>
        <w:spacing w:after="0"/>
        <w:ind w:left="17" w:right="7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 почвенно-агроэкологического районирования позволяет обосновать стратегию комплексных мероприятий по рациональному использованию и улучшению сельскохозяйственных</w:t>
      </w:r>
      <w:r w:rsidRPr="0073613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земель, направленных на замедление, ликвидацию деградационных процессов. Она позволяет выявить районы, для</w:t>
      </w:r>
      <w:r w:rsidRPr="0073613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 основным мелиоративным мероприятием может стать комплекс биомелиораций. Это, прежде всего, территории, подверженные эрозии и дефляции, а также территории, в пределах которых отмечается слабое проявление засоления, солонцеватости, переувлажнения. Районы, где свойства и процессы, лимитирующие плодородие почв, проявляются в сильной степени, нуждаются, как правило, в дорогостоящих комплексных мелиоративных мероприятиях. Затраты на освоение и мелиорацию этих земель требуют предварительного агроэкологического обоснования.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Задание для самостоятельной работы № 6</w:t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 предлагаемой схеме почвенно-агроэкологического районирования РФ с помощью цветового обозначения выделить  почвенно-агроэкологические пояса. </w:t>
      </w:r>
    </w:p>
    <w:p w:rsidR="0073613F" w:rsidRPr="0073613F" w:rsidRDefault="0073613F" w:rsidP="0073613F">
      <w:pPr>
        <w:shd w:val="clear" w:color="auto" w:fill="FFFFFF"/>
        <w:spacing w:after="0"/>
        <w:ind w:left="17" w:right="72" w:hanging="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2.Провести анализ схемы агроэкологического районирования России с указанием основных направлений почвенно - мелиоративных мероприятий .</w:t>
      </w:r>
    </w:p>
    <w:p w:rsidR="0073613F" w:rsidRPr="0073613F" w:rsidRDefault="0073613F" w:rsidP="0073613F">
      <w:pPr>
        <w:tabs>
          <w:tab w:val="left" w:pos="-2268"/>
        </w:tabs>
        <w:spacing w:after="0"/>
        <w:ind w:left="70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13F"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3590" cy="8054340"/>
            <wp:effectExtent l="19050" t="0" r="381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F" w:rsidRPr="0073613F" w:rsidRDefault="0073613F" w:rsidP="0073613F">
      <w:pPr>
        <w:shd w:val="clear" w:color="auto" w:fill="FFFFFF"/>
        <w:spacing w:after="0"/>
        <w:ind w:left="2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Схема почвенно-агроэкологического районирования сельскохозяйственных земель России.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val="en-US" w:eastAsia="ru-RU"/>
        </w:rPr>
        <w:lastRenderedPageBreak/>
        <w:t>I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ab/>
        <w:t xml:space="preserve">границы почвенно-агроэкологических выделов: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1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- поясов,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2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- зон,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3</w:t>
      </w:r>
      <w:r w:rsidRPr="0073613F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- провинций, </w:t>
      </w:r>
      <w:r w:rsidRPr="0073613F">
        <w:rPr>
          <w:rFonts w:ascii="Times New Roman" w:eastAsiaTheme="minorEastAsia" w:hAnsi="Times New Roman" w:cs="Times New Roman"/>
          <w:i/>
          <w:spacing w:val="-3"/>
          <w:sz w:val="28"/>
          <w:szCs w:val="28"/>
          <w:lang w:eastAsia="ru-RU"/>
        </w:rPr>
        <w:t>4</w:t>
      </w:r>
      <w:r w:rsidRPr="0073613F">
        <w:rPr>
          <w:rFonts w:ascii="Times New Roman" w:eastAsiaTheme="minorEastAsia" w:hAnsi="Times New Roman" w:cs="Times New Roman"/>
          <w:i/>
          <w:iCs/>
          <w:spacing w:val="-3"/>
          <w:sz w:val="28"/>
          <w:szCs w:val="28"/>
          <w:lang w:eastAsia="ru-RU"/>
        </w:rPr>
        <w:t xml:space="preserve"> - 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горные территории;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П</w:t>
      </w:r>
      <w:r w:rsidRPr="0073613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– категории земель по свойствам и процессам,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лимитирующим плодородие почв: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5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кислые;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6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– переувлажненные;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7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эродированные; 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8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- дефлированные; </w:t>
      </w:r>
      <w:r w:rsidRPr="0073613F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9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– засоленные (несолонцовые); </w:t>
      </w:r>
      <w:r w:rsidRPr="0073613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10 </w:t>
      </w:r>
      <w:r w:rsidRPr="0073613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– засоленно-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солонцовые; </w:t>
      </w:r>
      <w:r w:rsidRPr="0073613F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11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– пойменные;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Ш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административное деление России: </w:t>
      </w:r>
      <w:r w:rsidRPr="0073613F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12 -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граница административных областей, краев, республик; </w:t>
      </w: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цифры на схеме соответству</w:t>
      </w:r>
      <w:r w:rsidRPr="0073613F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ют цифрам, приведенным в скобках ниже.</w:t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2"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Перечень административных областей (краев, республик) дан с учетом процентного участия сельскохозяйственных зе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мель от общей площади области (края, республики).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2"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Сельскохозяйственные земли составляют: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3613F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&lt;3%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ab/>
        <w:t xml:space="preserve">Архангельская (1), Мурманская (3), Республика Карелия (4), </w:t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Республика Коми (5), Тюменская (59), Хабаровский край (66), Камчатская (68), Магаданская (69), Сахалинская (70), Республика Саха (71);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  <w:t>3-10 %</w:t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i/>
          <w:iCs/>
          <w:spacing w:val="-8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Вологодская (2),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Ленинградская (6), Томская (58), Иркутская (61), Республика Бурятия (63), Приморский край (65), Амурская (67);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10-20 %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Новгородская (7), Костромская (15), Пермская (49), Свердловская (50), Читинская (62), Республика Тува (64);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20-30 %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 Псковская (8), Тверская (13), Кировская (23), Кемеровская (55);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30-50 %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>Вла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димирская (11),  Ивановская (12), Калужская (14), Московская (16), Смоленская (19), Ярославская (21), Нижегородская (22), Республика Мари-Эл (24), Удмурт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ская республика (53), Амурская (54), Новосибирская (56), Омская (57); 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50-80 %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– </w:t>
      </w:r>
      <w:r w:rsidRPr="0073613F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ab/>
        <w:t xml:space="preserve">Калининградская (9), Брянская (10), Рязанская (18), Тульская (20), Республика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Мордовия (25), Республика Чувашия (26), Белгородская (27), Воронежская (28), Астраханская (32), Волгоградская (33), Самарская (34), Пензенская (35), Улья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softHyphen/>
      </w:r>
      <w:r w:rsidRPr="0073613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новская (37), Республика Калмыкия (38), Республика Татарстан (39), Краснодарский край (40), Ставропольский край (41), Республика Дагестан (43), Кабардино-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Балкарская (44), Северо-Осетинская (45), Чеченская и Ингушская (46) республики, Курганская (47), Челябинская (51), Республика Башкортостан (52);</w:t>
      </w:r>
    </w:p>
    <w:p w:rsidR="0073613F" w:rsidRPr="0073613F" w:rsidRDefault="0073613F" w:rsidP="0073613F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</w:pP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&gt;80 %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–  </w:t>
      </w:r>
      <w:r w:rsidRPr="0073613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ab/>
      </w:r>
      <w:r w:rsidRPr="00736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(17), Курская (29), Липецкая (30), Тамбовская (31), Саратовская (36), Ростовская (42), Оренбургская (48).</w:t>
      </w:r>
      <w:r w:rsidRPr="0073613F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73613F" w:rsidRPr="0073613F" w:rsidRDefault="0073613F" w:rsidP="007361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B52C93" w:rsidRDefault="00B52C93"/>
    <w:sectPr w:rsidR="00B52C93" w:rsidSect="0024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6B" w:rsidRDefault="00595C6B" w:rsidP="004A3540">
      <w:pPr>
        <w:spacing w:after="0" w:line="240" w:lineRule="auto"/>
      </w:pPr>
      <w:r>
        <w:separator/>
      </w:r>
    </w:p>
  </w:endnote>
  <w:endnote w:type="continuationSeparator" w:id="0">
    <w:p w:rsidR="00595C6B" w:rsidRDefault="00595C6B" w:rsidP="004A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141"/>
      <w:docPartObj>
        <w:docPartGallery w:val="Page Numbers (Bottom of Page)"/>
        <w:docPartUnique/>
      </w:docPartObj>
    </w:sdtPr>
    <w:sdtContent>
      <w:p w:rsidR="004A3540" w:rsidRDefault="00D93A56">
        <w:pPr>
          <w:pStyle w:val="aa"/>
          <w:jc w:val="center"/>
        </w:pPr>
        <w:fldSimple w:instr=" PAGE   \* MERGEFORMAT ">
          <w:r w:rsidR="00405227">
            <w:rPr>
              <w:noProof/>
            </w:rPr>
            <w:t>26</w:t>
          </w:r>
        </w:fldSimple>
      </w:p>
    </w:sdtContent>
  </w:sdt>
  <w:p w:rsidR="0073613F" w:rsidRDefault="007361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6B" w:rsidRDefault="00595C6B" w:rsidP="004A3540">
      <w:pPr>
        <w:spacing w:after="0" w:line="240" w:lineRule="auto"/>
      </w:pPr>
      <w:r>
        <w:separator/>
      </w:r>
    </w:p>
  </w:footnote>
  <w:footnote w:type="continuationSeparator" w:id="0">
    <w:p w:rsidR="00595C6B" w:rsidRDefault="00595C6B" w:rsidP="004A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8A6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6DAA"/>
    <w:multiLevelType w:val="hybridMultilevel"/>
    <w:tmpl w:val="094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0C53"/>
    <w:multiLevelType w:val="hybridMultilevel"/>
    <w:tmpl w:val="6CFEBA40"/>
    <w:lvl w:ilvl="0" w:tplc="31DC1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4D00FA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576"/>
    <w:multiLevelType w:val="hybridMultilevel"/>
    <w:tmpl w:val="1A8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7204"/>
    <w:multiLevelType w:val="hybridMultilevel"/>
    <w:tmpl w:val="0C3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8BF"/>
    <w:multiLevelType w:val="hybridMultilevel"/>
    <w:tmpl w:val="C57C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D91"/>
    <w:multiLevelType w:val="hybridMultilevel"/>
    <w:tmpl w:val="118C7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E2A11"/>
    <w:multiLevelType w:val="hybridMultilevel"/>
    <w:tmpl w:val="85B0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B5554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D667C"/>
    <w:multiLevelType w:val="hybridMultilevel"/>
    <w:tmpl w:val="85E8BADA"/>
    <w:lvl w:ilvl="0" w:tplc="BF64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77EB2"/>
    <w:multiLevelType w:val="hybridMultilevel"/>
    <w:tmpl w:val="5B8466FC"/>
    <w:lvl w:ilvl="0" w:tplc="4A645A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BF35379"/>
    <w:multiLevelType w:val="hybridMultilevel"/>
    <w:tmpl w:val="4644F95E"/>
    <w:lvl w:ilvl="0" w:tplc="42948C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3323ADD"/>
    <w:multiLevelType w:val="hybridMultilevel"/>
    <w:tmpl w:val="7AB870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917CE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372779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93"/>
    <w:rsid w:val="000C7ABE"/>
    <w:rsid w:val="002405EA"/>
    <w:rsid w:val="00355E8C"/>
    <w:rsid w:val="00405227"/>
    <w:rsid w:val="004813B5"/>
    <w:rsid w:val="004A3540"/>
    <w:rsid w:val="00595C6B"/>
    <w:rsid w:val="00665986"/>
    <w:rsid w:val="0073613F"/>
    <w:rsid w:val="008436F1"/>
    <w:rsid w:val="00972E6E"/>
    <w:rsid w:val="00A37301"/>
    <w:rsid w:val="00B52C93"/>
    <w:rsid w:val="00B9302A"/>
    <w:rsid w:val="00CC6A69"/>
    <w:rsid w:val="00D93A56"/>
    <w:rsid w:val="00DB204F"/>
    <w:rsid w:val="00DE3F86"/>
    <w:rsid w:val="00E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05EA"/>
  </w:style>
  <w:style w:type="paragraph" w:styleId="10">
    <w:name w:val="heading 1"/>
    <w:basedOn w:val="a0"/>
    <w:next w:val="a0"/>
    <w:link w:val="11"/>
    <w:qFormat/>
    <w:rsid w:val="007361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736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73613F"/>
    <w:pPr>
      <w:keepNext/>
      <w:shd w:val="clear" w:color="auto" w:fill="FFFFFF"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3613F"/>
    <w:pPr>
      <w:keepNext/>
      <w:shd w:val="clear" w:color="auto" w:fill="FFFFFF"/>
      <w:spacing w:after="0" w:line="360" w:lineRule="auto"/>
      <w:ind w:firstLine="72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73613F"/>
    <w:pPr>
      <w:keepNext/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3613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3613F"/>
    <w:pPr>
      <w:keepNext/>
      <w:spacing w:after="0" w:line="360" w:lineRule="auto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3613F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361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361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3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3613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73613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361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3613F"/>
  </w:style>
  <w:style w:type="paragraph" w:styleId="a4">
    <w:name w:val="Title"/>
    <w:basedOn w:val="a0"/>
    <w:link w:val="a5"/>
    <w:qFormat/>
    <w:rsid w:val="0073613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36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3613F"/>
    <w:pPr>
      <w:numPr>
        <w:numId w:val="1"/>
      </w:numPr>
    </w:pPr>
  </w:style>
  <w:style w:type="paragraph" w:customStyle="1" w:styleId="a">
    <w:name w:val="список с точками"/>
    <w:basedOn w:val="a0"/>
    <w:rsid w:val="0073613F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36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73613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73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73613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73613F"/>
    <w:rPr>
      <w:rFonts w:eastAsiaTheme="minorEastAsia"/>
      <w:lang w:eastAsia="ru-RU"/>
    </w:rPr>
  </w:style>
  <w:style w:type="table" w:customStyle="1" w:styleId="13">
    <w:name w:val="Сетка таблицы1"/>
    <w:basedOn w:val="a2"/>
    <w:next w:val="a9"/>
    <w:uiPriority w:val="59"/>
    <w:rsid w:val="007361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semiHidden/>
    <w:unhideWhenUsed/>
    <w:rsid w:val="00736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73613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3613F"/>
  </w:style>
  <w:style w:type="character" w:customStyle="1" w:styleId="FontStyle76">
    <w:name w:val="Font Style76"/>
    <w:basedOn w:val="a1"/>
    <w:uiPriority w:val="99"/>
    <w:rsid w:val="0073613F"/>
    <w:rPr>
      <w:rFonts w:ascii="Courier New" w:hAnsi="Courier New" w:cs="Courier New"/>
      <w:spacing w:val="-20"/>
      <w:sz w:val="18"/>
      <w:szCs w:val="18"/>
    </w:rPr>
  </w:style>
  <w:style w:type="paragraph" w:customStyle="1" w:styleId="Style1">
    <w:name w:val="Style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73613F"/>
    <w:rPr>
      <w:rFonts w:ascii="Courier New" w:hAnsi="Courier New" w:cs="Courier New"/>
      <w:b/>
      <w:bCs/>
      <w:spacing w:val="-20"/>
      <w:sz w:val="18"/>
      <w:szCs w:val="18"/>
    </w:rPr>
  </w:style>
  <w:style w:type="paragraph" w:customStyle="1" w:styleId="Style5">
    <w:name w:val="Style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8">
    <w:name w:val="Font Style78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6">
    <w:name w:val="Style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9">
    <w:name w:val="Font Style79"/>
    <w:basedOn w:val="a1"/>
    <w:uiPriority w:val="99"/>
    <w:rsid w:val="0073613F"/>
    <w:rPr>
      <w:rFonts w:ascii="Book Antiqua" w:hAnsi="Book Antiqua" w:cs="Book Antiqua"/>
      <w:smallCaps/>
      <w:sz w:val="16"/>
      <w:szCs w:val="16"/>
    </w:rPr>
  </w:style>
  <w:style w:type="paragraph" w:customStyle="1" w:styleId="Style3">
    <w:name w:val="Style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1">
    <w:name w:val="Font Style101"/>
    <w:basedOn w:val="a1"/>
    <w:uiPriority w:val="99"/>
    <w:rsid w:val="0073613F"/>
    <w:rPr>
      <w:rFonts w:ascii="Book Antiqua" w:hAnsi="Book Antiqua" w:cs="Book Antiqua"/>
      <w:b/>
      <w:bCs/>
      <w:spacing w:val="-20"/>
      <w:sz w:val="22"/>
      <w:szCs w:val="22"/>
    </w:rPr>
  </w:style>
  <w:style w:type="character" w:customStyle="1" w:styleId="FontStyle104">
    <w:name w:val="Font Style104"/>
    <w:basedOn w:val="a1"/>
    <w:uiPriority w:val="99"/>
    <w:rsid w:val="0073613F"/>
    <w:rPr>
      <w:rFonts w:ascii="Candara" w:hAnsi="Candara" w:cs="Candara"/>
      <w:sz w:val="16"/>
      <w:szCs w:val="16"/>
    </w:rPr>
  </w:style>
  <w:style w:type="paragraph" w:customStyle="1" w:styleId="Style20">
    <w:name w:val="Style2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73613F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89">
    <w:name w:val="Font Style89"/>
    <w:basedOn w:val="a1"/>
    <w:uiPriority w:val="99"/>
    <w:rsid w:val="0073613F"/>
    <w:rPr>
      <w:rFonts w:ascii="Candara" w:hAnsi="Candara" w:cs="Candara"/>
      <w:spacing w:val="10"/>
      <w:sz w:val="18"/>
      <w:szCs w:val="18"/>
    </w:rPr>
  </w:style>
  <w:style w:type="paragraph" w:customStyle="1" w:styleId="Style27">
    <w:name w:val="Style2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2">
    <w:name w:val="Font Style82"/>
    <w:basedOn w:val="a1"/>
    <w:uiPriority w:val="99"/>
    <w:rsid w:val="0073613F"/>
    <w:rPr>
      <w:rFonts w:ascii="Courier New" w:hAnsi="Courier New" w:cs="Courier Ne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31">
    <w:name w:val="Style3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3">
    <w:name w:val="Font Style103"/>
    <w:basedOn w:val="a1"/>
    <w:uiPriority w:val="99"/>
    <w:rsid w:val="0073613F"/>
    <w:rPr>
      <w:rFonts w:ascii="Courier New" w:hAnsi="Courier New" w:cs="Courier New"/>
      <w:i/>
      <w:iCs/>
      <w:spacing w:val="60"/>
      <w:sz w:val="18"/>
      <w:szCs w:val="18"/>
    </w:rPr>
  </w:style>
  <w:style w:type="paragraph" w:customStyle="1" w:styleId="Style32">
    <w:name w:val="Style3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73613F"/>
    <w:rPr>
      <w:rFonts w:ascii="Palatino Linotype" w:hAnsi="Palatino Linotype" w:cs="Palatino Linotype"/>
      <w:spacing w:val="20"/>
      <w:sz w:val="20"/>
      <w:szCs w:val="20"/>
    </w:rPr>
  </w:style>
  <w:style w:type="character" w:customStyle="1" w:styleId="FontStyle93">
    <w:name w:val="Font Style93"/>
    <w:basedOn w:val="a1"/>
    <w:uiPriority w:val="99"/>
    <w:rsid w:val="0073613F"/>
    <w:rPr>
      <w:rFonts w:ascii="Book Antiqua" w:hAnsi="Book Antiqua" w:cs="Book Antiqua"/>
      <w:b/>
      <w:bCs/>
      <w:i/>
      <w:iCs/>
      <w:spacing w:val="80"/>
      <w:sz w:val="16"/>
      <w:szCs w:val="16"/>
    </w:rPr>
  </w:style>
  <w:style w:type="character" w:customStyle="1" w:styleId="FontStyle84">
    <w:name w:val="Font Style84"/>
    <w:basedOn w:val="a1"/>
    <w:uiPriority w:val="99"/>
    <w:rsid w:val="0073613F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85">
    <w:name w:val="Font Style85"/>
    <w:basedOn w:val="a1"/>
    <w:uiPriority w:val="99"/>
    <w:rsid w:val="0073613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5">
    <w:name w:val="Style3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73613F"/>
    <w:rPr>
      <w:rFonts w:ascii="Palatino Linotype" w:hAnsi="Palatino Linotype" w:cs="Palatino Linotype"/>
      <w:b/>
      <w:bCs/>
      <w:sz w:val="28"/>
      <w:szCs w:val="28"/>
    </w:rPr>
  </w:style>
  <w:style w:type="paragraph" w:customStyle="1" w:styleId="Style46">
    <w:name w:val="Style4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7">
    <w:name w:val="Font Style87"/>
    <w:basedOn w:val="a1"/>
    <w:uiPriority w:val="99"/>
    <w:rsid w:val="0073613F"/>
    <w:rPr>
      <w:rFonts w:ascii="Courier New" w:hAnsi="Courier New" w:cs="Courier New"/>
      <w:spacing w:val="-10"/>
      <w:sz w:val="18"/>
      <w:szCs w:val="18"/>
    </w:rPr>
  </w:style>
  <w:style w:type="paragraph" w:customStyle="1" w:styleId="Style48">
    <w:name w:val="Style4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2">
    <w:name w:val="Font Style112"/>
    <w:basedOn w:val="a1"/>
    <w:uiPriority w:val="99"/>
    <w:rsid w:val="0073613F"/>
    <w:rPr>
      <w:rFonts w:ascii="Courier New" w:hAnsi="Courier New" w:cs="Courier New"/>
      <w:b/>
      <w:bCs/>
      <w:sz w:val="14"/>
      <w:szCs w:val="14"/>
    </w:rPr>
  </w:style>
  <w:style w:type="character" w:customStyle="1" w:styleId="FontStyle108">
    <w:name w:val="Font Style108"/>
    <w:basedOn w:val="a1"/>
    <w:uiPriority w:val="99"/>
    <w:rsid w:val="0073613F"/>
    <w:rPr>
      <w:rFonts w:ascii="Courier New" w:hAnsi="Courier New" w:cs="Courier New"/>
      <w:spacing w:val="-20"/>
      <w:sz w:val="20"/>
      <w:szCs w:val="20"/>
    </w:rPr>
  </w:style>
  <w:style w:type="paragraph" w:customStyle="1" w:styleId="Style57">
    <w:name w:val="Style5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3">
    <w:name w:val="Font Style113"/>
    <w:basedOn w:val="a1"/>
    <w:uiPriority w:val="99"/>
    <w:rsid w:val="0073613F"/>
    <w:rPr>
      <w:rFonts w:ascii="Courier New" w:hAnsi="Courier New" w:cs="Courier New"/>
      <w:sz w:val="20"/>
      <w:szCs w:val="20"/>
    </w:rPr>
  </w:style>
  <w:style w:type="paragraph" w:customStyle="1" w:styleId="Style59">
    <w:name w:val="Style5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8">
    <w:name w:val="Font Style88"/>
    <w:basedOn w:val="a1"/>
    <w:uiPriority w:val="99"/>
    <w:rsid w:val="0073613F"/>
    <w:rPr>
      <w:rFonts w:ascii="Cambria" w:hAnsi="Cambria" w:cs="Cambria"/>
      <w:sz w:val="22"/>
      <w:szCs w:val="22"/>
    </w:rPr>
  </w:style>
  <w:style w:type="paragraph" w:customStyle="1" w:styleId="Style45">
    <w:name w:val="Style4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0">
    <w:name w:val="Font Style90"/>
    <w:basedOn w:val="a1"/>
    <w:uiPriority w:val="99"/>
    <w:rsid w:val="0073613F"/>
    <w:rPr>
      <w:rFonts w:ascii="Arial" w:hAnsi="Arial" w:cs="Arial"/>
      <w:b/>
      <w:bCs/>
      <w:i/>
      <w:iCs/>
      <w:spacing w:val="-20"/>
      <w:sz w:val="16"/>
      <w:szCs w:val="16"/>
    </w:rPr>
  </w:style>
  <w:style w:type="paragraph" w:customStyle="1" w:styleId="Style36">
    <w:name w:val="Style3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1">
    <w:name w:val="Font Style91"/>
    <w:basedOn w:val="a1"/>
    <w:uiPriority w:val="99"/>
    <w:rsid w:val="0073613F"/>
    <w:rPr>
      <w:rFonts w:ascii="Courier New" w:hAnsi="Courier New" w:cs="Courier New"/>
      <w:i/>
      <w:iCs/>
      <w:sz w:val="20"/>
      <w:szCs w:val="20"/>
    </w:rPr>
  </w:style>
  <w:style w:type="paragraph" w:customStyle="1" w:styleId="Style24">
    <w:name w:val="Style2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2">
    <w:name w:val="Font Style92"/>
    <w:basedOn w:val="a1"/>
    <w:uiPriority w:val="99"/>
    <w:rsid w:val="0073613F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11">
    <w:name w:val="Font Style111"/>
    <w:basedOn w:val="a1"/>
    <w:uiPriority w:val="99"/>
    <w:rsid w:val="0073613F"/>
    <w:rPr>
      <w:rFonts w:ascii="Courier New" w:hAnsi="Courier New" w:cs="Courier New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4">
    <w:name w:val="Font Style94"/>
    <w:basedOn w:val="a1"/>
    <w:uiPriority w:val="99"/>
    <w:rsid w:val="0073613F"/>
    <w:rPr>
      <w:rFonts w:ascii="Courier New" w:hAnsi="Courier New" w:cs="Courier New"/>
      <w:i/>
      <w:iCs/>
      <w:sz w:val="18"/>
      <w:szCs w:val="18"/>
    </w:rPr>
  </w:style>
  <w:style w:type="character" w:customStyle="1" w:styleId="FontStyle95">
    <w:name w:val="Font Style95"/>
    <w:basedOn w:val="a1"/>
    <w:uiPriority w:val="99"/>
    <w:rsid w:val="0073613F"/>
    <w:rPr>
      <w:rFonts w:ascii="Candara" w:hAnsi="Candara" w:cs="Candara"/>
      <w:i/>
      <w:iCs/>
      <w:spacing w:val="30"/>
      <w:sz w:val="18"/>
      <w:szCs w:val="18"/>
    </w:rPr>
  </w:style>
  <w:style w:type="paragraph" w:customStyle="1" w:styleId="Style42">
    <w:name w:val="Style4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73613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4">
    <w:name w:val="Style3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9">
    <w:name w:val="Font Style99"/>
    <w:basedOn w:val="a1"/>
    <w:uiPriority w:val="99"/>
    <w:rsid w:val="0073613F"/>
    <w:rPr>
      <w:rFonts w:ascii="Book Antiqua" w:hAnsi="Book Antiqua" w:cs="Book Antiqua"/>
      <w:b/>
      <w:bCs/>
      <w:smallCaps/>
      <w:sz w:val="16"/>
      <w:szCs w:val="16"/>
    </w:rPr>
  </w:style>
  <w:style w:type="paragraph" w:customStyle="1" w:styleId="Style33">
    <w:name w:val="Style3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7">
    <w:name w:val="Font Style97"/>
    <w:basedOn w:val="a1"/>
    <w:uiPriority w:val="99"/>
    <w:rsid w:val="0073613F"/>
    <w:rPr>
      <w:rFonts w:ascii="Courier New" w:hAnsi="Courier New" w:cs="Courier New"/>
      <w:b/>
      <w:bCs/>
      <w:sz w:val="20"/>
      <w:szCs w:val="20"/>
    </w:rPr>
  </w:style>
  <w:style w:type="paragraph" w:customStyle="1" w:styleId="Style50">
    <w:name w:val="Style5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6">
    <w:name w:val="Font Style96"/>
    <w:basedOn w:val="a1"/>
    <w:uiPriority w:val="99"/>
    <w:rsid w:val="0073613F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customStyle="1" w:styleId="Style26">
    <w:name w:val="Style26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0">
    <w:name w:val="Font Style100"/>
    <w:basedOn w:val="a1"/>
    <w:uiPriority w:val="99"/>
    <w:rsid w:val="0073613F"/>
    <w:rPr>
      <w:rFonts w:ascii="Courier New" w:hAnsi="Courier New" w:cs="Courier New"/>
      <w:b/>
      <w:bCs/>
      <w:i/>
      <w:iCs/>
      <w:spacing w:val="10"/>
      <w:sz w:val="18"/>
      <w:szCs w:val="18"/>
    </w:rPr>
  </w:style>
  <w:style w:type="paragraph" w:customStyle="1" w:styleId="Style43">
    <w:name w:val="Style4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2">
    <w:name w:val="Font Style102"/>
    <w:basedOn w:val="a1"/>
    <w:uiPriority w:val="99"/>
    <w:rsid w:val="0073613F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5">
    <w:name w:val="Font Style105"/>
    <w:basedOn w:val="a1"/>
    <w:uiPriority w:val="99"/>
    <w:rsid w:val="0073613F"/>
    <w:rPr>
      <w:rFonts w:ascii="Courier New" w:hAnsi="Courier New" w:cs="Courier New"/>
      <w:b/>
      <w:bCs/>
      <w:spacing w:val="-20"/>
      <w:sz w:val="20"/>
      <w:szCs w:val="20"/>
    </w:rPr>
  </w:style>
  <w:style w:type="paragraph" w:customStyle="1" w:styleId="Style30">
    <w:name w:val="Style3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8">
    <w:name w:val="Style58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73613F"/>
    <w:rPr>
      <w:rFonts w:ascii="Tahoma" w:hAnsi="Tahoma" w:cs="Tahoma"/>
      <w:i/>
      <w:iCs/>
      <w:spacing w:val="20"/>
      <w:sz w:val="14"/>
      <w:szCs w:val="14"/>
    </w:rPr>
  </w:style>
  <w:style w:type="character" w:customStyle="1" w:styleId="FontStyle107">
    <w:name w:val="Font Style107"/>
    <w:basedOn w:val="a1"/>
    <w:uiPriority w:val="99"/>
    <w:rsid w:val="0073613F"/>
    <w:rPr>
      <w:rFonts w:ascii="Courier New" w:hAnsi="Courier New" w:cs="Courier New"/>
      <w:b/>
      <w:bCs/>
      <w:spacing w:val="-10"/>
      <w:sz w:val="22"/>
      <w:szCs w:val="22"/>
    </w:rPr>
  </w:style>
  <w:style w:type="paragraph" w:customStyle="1" w:styleId="Style40">
    <w:name w:val="Style40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9">
    <w:name w:val="Font Style109"/>
    <w:basedOn w:val="a1"/>
    <w:uiPriority w:val="99"/>
    <w:rsid w:val="0073613F"/>
    <w:rPr>
      <w:rFonts w:ascii="Franklin Gothic Medium Cond" w:hAnsi="Franklin Gothic Medium Cond" w:cs="Franklin Gothic Medium Cond"/>
      <w:b/>
      <w:bCs/>
      <w:sz w:val="36"/>
      <w:szCs w:val="36"/>
    </w:rPr>
  </w:style>
  <w:style w:type="paragraph" w:customStyle="1" w:styleId="Style25">
    <w:name w:val="Style25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0">
    <w:name w:val="Font Style110"/>
    <w:basedOn w:val="a1"/>
    <w:uiPriority w:val="99"/>
    <w:rsid w:val="0073613F"/>
    <w:rPr>
      <w:rFonts w:ascii="Candara" w:hAnsi="Candara" w:cs="Candara"/>
      <w:sz w:val="28"/>
      <w:szCs w:val="28"/>
    </w:rPr>
  </w:style>
  <w:style w:type="paragraph" w:customStyle="1" w:styleId="Style51">
    <w:name w:val="Style51"/>
    <w:basedOn w:val="a0"/>
    <w:uiPriority w:val="99"/>
    <w:rsid w:val="0073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68">
    <w:name w:val="Font Style268"/>
    <w:uiPriority w:val="99"/>
    <w:rsid w:val="0073613F"/>
    <w:rPr>
      <w:rFonts w:ascii="Times New Roman" w:hAnsi="Times New Roman" w:cs="Times New Roman"/>
      <w:sz w:val="18"/>
      <w:szCs w:val="18"/>
    </w:rPr>
  </w:style>
  <w:style w:type="character" w:customStyle="1" w:styleId="FontStyle274">
    <w:name w:val="Font Style274"/>
    <w:uiPriority w:val="99"/>
    <w:rsid w:val="007361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1">
    <w:name w:val="Font Style391"/>
    <w:basedOn w:val="a1"/>
    <w:uiPriority w:val="99"/>
    <w:rsid w:val="007361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3">
    <w:name w:val="Font Style393"/>
    <w:basedOn w:val="a1"/>
    <w:uiPriority w:val="99"/>
    <w:rsid w:val="0073613F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0"/>
    <w:link w:val="af"/>
    <w:rsid w:val="007361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73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73613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73613F"/>
    <w:rPr>
      <w:rFonts w:eastAsiaTheme="minorEastAsia"/>
      <w:lang w:eastAsia="ru-RU"/>
    </w:rPr>
  </w:style>
  <w:style w:type="character" w:customStyle="1" w:styleId="17">
    <w:name w:val="Знак Знак17"/>
    <w:basedOn w:val="a1"/>
    <w:rsid w:val="0073613F"/>
    <w:rPr>
      <w:rFonts w:ascii="Times New Roman" w:eastAsia="Times New Roman" w:hAnsi="Times New Roman" w:cs="Times New Roman"/>
      <w:sz w:val="36"/>
      <w:szCs w:val="20"/>
    </w:rPr>
  </w:style>
  <w:style w:type="character" w:customStyle="1" w:styleId="18">
    <w:name w:val="Знак Знак18"/>
    <w:basedOn w:val="a1"/>
    <w:rsid w:val="0073613F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Знак Знак16"/>
    <w:basedOn w:val="a1"/>
    <w:rsid w:val="0073613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15">
    <w:name w:val="Знак Знак15"/>
    <w:basedOn w:val="a1"/>
    <w:rsid w:val="0073613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4">
    <w:name w:val="Знак Знак14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30">
    <w:name w:val="Знак Знак13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20">
    <w:name w:val="Знак Знак12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11">
    <w:name w:val="Знак Знак11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Знак Знак10"/>
    <w:basedOn w:val="a1"/>
    <w:rsid w:val="0073613F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semiHidden/>
    <w:rsid w:val="007361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нак Знак9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0"/>
    <w:link w:val="24"/>
    <w:semiHidden/>
    <w:rsid w:val="0073613F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semiHidden/>
    <w:rsid w:val="0073613F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Знак Знак6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1"/>
    <w:semiHidden/>
    <w:rsid w:val="0073613F"/>
  </w:style>
  <w:style w:type="character" w:customStyle="1" w:styleId="51">
    <w:name w:val="Знак Знак5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0"/>
    <w:link w:val="af4"/>
    <w:qFormat/>
    <w:rsid w:val="007361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Знак Знак3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нак Знак2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rsid w:val="007361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a">
    <w:name w:val="Знак Знак1"/>
    <w:basedOn w:val="a1"/>
    <w:rsid w:val="0073613F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semiHidden/>
    <w:rsid w:val="0073613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736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Знак Знак"/>
    <w:basedOn w:val="a1"/>
    <w:rsid w:val="0073613F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0"/>
    <w:next w:val="a0"/>
    <w:qFormat/>
    <w:rsid w:val="0073613F"/>
    <w:pPr>
      <w:spacing w:after="0" w:line="360" w:lineRule="auto"/>
      <w:ind w:firstLine="708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3613F"/>
    <w:pPr>
      <w:spacing w:before="100" w:after="0" w:line="300" w:lineRule="auto"/>
      <w:ind w:left="2080" w:right="220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73613F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Block Text"/>
    <w:basedOn w:val="a0"/>
    <w:semiHidden/>
    <w:rsid w:val="0073613F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1"/>
    <w:basedOn w:val="a0"/>
    <w:next w:val="a0"/>
    <w:rsid w:val="0073613F"/>
    <w:pPr>
      <w:keepNext/>
      <w:widowControl w:val="0"/>
      <w:autoSpaceDE w:val="0"/>
      <w:autoSpaceDN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заголовок 2"/>
    <w:basedOn w:val="a0"/>
    <w:next w:val="a0"/>
    <w:rsid w:val="0073613F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заголовок 3"/>
    <w:basedOn w:val="a0"/>
    <w:next w:val="a0"/>
    <w:rsid w:val="007361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шрифт"/>
    <w:rsid w:val="0073613F"/>
  </w:style>
  <w:style w:type="paragraph" w:customStyle="1" w:styleId="BodyText21">
    <w:name w:val="Body Text 21"/>
    <w:basedOn w:val="a0"/>
    <w:rsid w:val="00736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9">
    <w:name w:val="номер страницы"/>
    <w:basedOn w:val="af8"/>
    <w:rsid w:val="0073613F"/>
  </w:style>
  <w:style w:type="character" w:styleId="afa">
    <w:name w:val="Placeholder Text"/>
    <w:basedOn w:val="a1"/>
    <w:uiPriority w:val="99"/>
    <w:semiHidden/>
    <w:rsid w:val="0073613F"/>
    <w:rPr>
      <w:color w:val="808080"/>
    </w:rPr>
  </w:style>
  <w:style w:type="table" w:customStyle="1" w:styleId="112">
    <w:name w:val="Сетка таблицы11"/>
    <w:basedOn w:val="a2"/>
    <w:next w:val="a9"/>
    <w:uiPriority w:val="59"/>
    <w:rsid w:val="007361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7106</Words>
  <Characters>40506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2015-06-18T11:32:00Z</dcterms:created>
  <dcterms:modified xsi:type="dcterms:W3CDTF">2015-08-17T09:31:00Z</dcterms:modified>
</cp:coreProperties>
</file>