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07" w:rsidRPr="00023207" w:rsidRDefault="00023207" w:rsidP="00023207">
      <w:pPr>
        <w:widowControl w:val="0"/>
        <w:tabs>
          <w:tab w:val="left" w:pos="675"/>
        </w:tabs>
        <w:spacing w:line="240" w:lineRule="auto"/>
        <w:ind w:hanging="1418"/>
        <w:jc w:val="center"/>
        <w:rPr>
          <w:rFonts w:eastAsia="Times New Roman"/>
          <w:b/>
          <w:bCs/>
          <w:szCs w:val="28"/>
          <w:lang w:eastAsia="ru-RU"/>
        </w:rPr>
      </w:pPr>
      <w:r w:rsidRPr="00023207">
        <w:rPr>
          <w:rFonts w:eastAsia="Times New Roman"/>
          <w:b/>
          <w:bCs/>
          <w:szCs w:val="28"/>
          <w:lang w:eastAsia="ru-RU"/>
        </w:rPr>
        <w:t xml:space="preserve">Вопросы к экзамену по дисциплине </w:t>
      </w:r>
    </w:p>
    <w:p w:rsidR="00023207" w:rsidRPr="00023207" w:rsidRDefault="00023207" w:rsidP="00023207">
      <w:pPr>
        <w:widowControl w:val="0"/>
        <w:tabs>
          <w:tab w:val="left" w:pos="675"/>
        </w:tabs>
        <w:spacing w:line="240" w:lineRule="auto"/>
        <w:ind w:hanging="1418"/>
        <w:jc w:val="center"/>
        <w:rPr>
          <w:rFonts w:eastAsia="Times New Roman"/>
          <w:b/>
          <w:bCs/>
          <w:szCs w:val="28"/>
          <w:lang w:eastAsia="ru-RU"/>
        </w:rPr>
      </w:pPr>
      <w:r w:rsidRPr="00023207">
        <w:rPr>
          <w:rFonts w:eastAsia="Times New Roman"/>
          <w:b/>
          <w:bCs/>
          <w:szCs w:val="28"/>
          <w:lang w:eastAsia="ru-RU"/>
        </w:rPr>
        <w:t>«</w:t>
      </w:r>
      <w:r>
        <w:rPr>
          <w:rFonts w:eastAsia="Times New Roman"/>
          <w:b/>
          <w:bCs/>
          <w:szCs w:val="28"/>
          <w:lang w:eastAsia="ru-RU"/>
        </w:rPr>
        <w:t>Маркетинговые исследования</w:t>
      </w:r>
      <w:bookmarkStart w:id="0" w:name="_GoBack"/>
      <w:bookmarkEnd w:id="0"/>
      <w:r w:rsidRPr="00023207">
        <w:rPr>
          <w:rFonts w:eastAsia="Times New Roman"/>
          <w:b/>
          <w:bCs/>
          <w:szCs w:val="28"/>
          <w:lang w:eastAsia="ru-RU"/>
        </w:rPr>
        <w:t>»</w:t>
      </w:r>
    </w:p>
    <w:p w:rsidR="00023207" w:rsidRPr="00023207" w:rsidRDefault="00023207" w:rsidP="00023207">
      <w:pPr>
        <w:widowControl w:val="0"/>
        <w:tabs>
          <w:tab w:val="left" w:pos="675"/>
        </w:tabs>
        <w:spacing w:line="240" w:lineRule="auto"/>
        <w:ind w:hanging="1418"/>
        <w:jc w:val="center"/>
        <w:rPr>
          <w:rFonts w:eastAsia="Times New Roman"/>
          <w:b/>
          <w:bCs/>
          <w:szCs w:val="28"/>
          <w:lang w:eastAsia="ru-RU"/>
        </w:rPr>
      </w:pPr>
      <w:r w:rsidRPr="00023207">
        <w:rPr>
          <w:rFonts w:eastAsia="Times New Roman"/>
          <w:b/>
          <w:bCs/>
          <w:szCs w:val="28"/>
          <w:lang w:eastAsia="ru-RU"/>
        </w:rPr>
        <w:t>для направления 38.04.0</w:t>
      </w:r>
      <w:r>
        <w:rPr>
          <w:rFonts w:eastAsia="Times New Roman"/>
          <w:b/>
          <w:bCs/>
          <w:szCs w:val="28"/>
          <w:lang w:eastAsia="ru-RU"/>
        </w:rPr>
        <w:t>2</w:t>
      </w:r>
      <w:r w:rsidRPr="00023207">
        <w:rPr>
          <w:rFonts w:eastAsia="Times New Roman"/>
          <w:b/>
          <w:bCs/>
          <w:szCs w:val="28"/>
          <w:lang w:eastAsia="ru-RU"/>
        </w:rPr>
        <w:t xml:space="preserve"> </w:t>
      </w:r>
    </w:p>
    <w:p w:rsidR="00023207" w:rsidRPr="00023207" w:rsidRDefault="00023207" w:rsidP="00023207">
      <w:pPr>
        <w:spacing w:after="200"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23207">
        <w:rPr>
          <w:rFonts w:eastAsia="Times New Roman"/>
          <w:b/>
          <w:bCs/>
          <w:szCs w:val="28"/>
          <w:lang w:eastAsia="ru-RU"/>
        </w:rPr>
        <w:t>Экономика фирмы и отраслевых рынков</w:t>
      </w:r>
    </w:p>
    <w:p w:rsidR="00023207" w:rsidRDefault="00023207" w:rsidP="003F7849">
      <w:pPr>
        <w:widowControl w:val="0"/>
        <w:tabs>
          <w:tab w:val="left" w:pos="675"/>
        </w:tabs>
        <w:spacing w:line="240" w:lineRule="auto"/>
        <w:ind w:left="1418" w:firstLine="0"/>
        <w:rPr>
          <w:b/>
        </w:rPr>
      </w:pPr>
    </w:p>
    <w:p w:rsidR="00023207" w:rsidRPr="003873CC" w:rsidRDefault="00023207" w:rsidP="003F7849">
      <w:pPr>
        <w:widowControl w:val="0"/>
        <w:tabs>
          <w:tab w:val="left" w:pos="675"/>
        </w:tabs>
        <w:spacing w:line="240" w:lineRule="auto"/>
        <w:ind w:left="1418" w:firstLine="0"/>
        <w:rPr>
          <w:rFonts w:eastAsia="Times New Roman"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037"/>
      </w:tblGrid>
      <w:tr w:rsidR="003F7849" w:rsidRPr="002243CA" w:rsidTr="00794E0B">
        <w:trPr>
          <w:tblHeader/>
        </w:trPr>
        <w:tc>
          <w:tcPr>
            <w:tcW w:w="279" w:type="pct"/>
            <w:tcBorders>
              <w:bottom w:val="single" w:sz="4" w:space="0" w:color="auto"/>
            </w:tcBorders>
          </w:tcPr>
          <w:p w:rsidR="003F7849" w:rsidRPr="002243CA" w:rsidRDefault="003F7849" w:rsidP="00794E0B">
            <w:pPr>
              <w:widowControl w:val="0"/>
              <w:tabs>
                <w:tab w:val="left" w:pos="675"/>
              </w:tabs>
              <w:spacing w:before="60" w:after="60"/>
              <w:ind w:left="-57" w:right="-5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243CA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1" w:type="pct"/>
            <w:tcBorders>
              <w:bottom w:val="single" w:sz="4" w:space="0" w:color="auto"/>
            </w:tcBorders>
            <w:vAlign w:val="center"/>
          </w:tcPr>
          <w:p w:rsidR="003F7849" w:rsidRPr="002243CA" w:rsidRDefault="003F7849" w:rsidP="00794E0B">
            <w:pPr>
              <w:widowControl w:val="0"/>
              <w:tabs>
                <w:tab w:val="left" w:pos="675"/>
              </w:tabs>
              <w:spacing w:before="60" w:after="60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243CA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3F7849" w:rsidRPr="002243CA" w:rsidTr="00794E0B">
        <w:trPr>
          <w:tblHeader/>
        </w:trPr>
        <w:tc>
          <w:tcPr>
            <w:tcW w:w="279" w:type="pct"/>
            <w:tcBorders>
              <w:left w:val="nil"/>
              <w:right w:val="nil"/>
            </w:tcBorders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4"/>
                <w:szCs w:val="4"/>
                <w:lang w:eastAsia="ru-RU"/>
              </w:rPr>
            </w:pPr>
          </w:p>
        </w:tc>
        <w:tc>
          <w:tcPr>
            <w:tcW w:w="4721" w:type="pct"/>
            <w:tcBorders>
              <w:left w:val="nil"/>
              <w:right w:val="nil"/>
            </w:tcBorders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NewRoman" w:hAnsi="TimesNewRoman" w:cs="TimesNewRoman"/>
                <w:sz w:val="4"/>
                <w:szCs w:val="4"/>
                <w:lang w:eastAsia="ru-RU"/>
              </w:rPr>
            </w:pP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Сущность, цели и задачи маркетинговых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Основные направления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Классификация маркетинговых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Методы исследований в маркетинге.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Процесс маркетинговых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Основные этапы маркетингового исследования.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>Этика маркетинговых исследований.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Проведение маркетинговых исследований с учетом специфики российских условий.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Сущность информационного обеспечения исследований в маркетинге.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Виды сбора информации.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Маркетинговая информационная система (МИС).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Система поддержки принятия решений (СППР).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Применение экспертных систем (ЭС) для принятия управленческих решений в условиях неопределенности.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szCs w:val="28"/>
              </w:rPr>
            </w:pPr>
            <w:r w:rsidRPr="002243CA">
              <w:rPr>
                <w:szCs w:val="28"/>
              </w:rPr>
              <w:t xml:space="preserve"> Услуги в сфере маркетинговых исследований.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Сущность и процесс планирования маркетинговых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Классификация планов маркетинговых исследований.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Поисковое исследование.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Итоговое исследование: дескриптивное и причинно-следственное исследование; профильное и повторное исследование; единичное и множественное профильное исследование.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Понятие «выборка». Виды выборки.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43CA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Методы отбора информации: случайный, систематический, кластерный, стратифицированный.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43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Ошибки выборки. Источники ошибок выборки: ошибки измерения, неполучение ответа при обследовании, некорректная обработка выборочных данных, случайные причины.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Определение объема и процедуры выборки. Организация и проведение сбора данных.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>Цели и задачи анализа. Виды анализа в маркетинговых исследованиях.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 Анализ содержания бесед: ретроспективных бесед, бесед с упором на творческое воображение; бесед, вызывающих нерешительность или волнение, бесед в группах.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Ассоциативные, проецируемые и экстенсивные тесты.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Анализ мотиваций потребителя: мотивы потребителей по Аллену, теория мотиваций Маслоу, мотивация по Фрейду.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43C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Типы покупателей. Решение о покупке.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Статистический метод анализа. Метод экспертных оценок.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Метод Дельфи. Методы анализа и оценки рисков в маркетинге.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Прогнозирование. Сущность прогнозирования.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Виды прогнозирования: краткосрочное, среднесрочное, долгосрочное.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Методы прогнозирования рынка: опрос, обобщение оценок отдельных торговых агентов и руководителей сбытовых подразделений;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43C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Прогнозирование на основе «доли рынка»; пробный маркетинг; метод стандартного распределения вероятностей, базирующийся на методе PE</w:t>
            </w:r>
            <w:r w:rsidRPr="002243CA">
              <w:rPr>
                <w:bCs/>
                <w:szCs w:val="28"/>
                <w:lang w:val="en-US"/>
              </w:rPr>
              <w:t>S</w:t>
            </w:r>
            <w:r w:rsidRPr="002243CA">
              <w:rPr>
                <w:bCs/>
                <w:szCs w:val="28"/>
              </w:rPr>
              <w:t>T.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Подготовка данных для компьютерной обработки.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Кодирование данных. Группировка данных. Табулирование.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2243CA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Кривая Лоренца и ее анализ.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Применение методов описательной статистики.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num" w:pos="284"/>
                <w:tab w:val="left" w:pos="1134"/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Определение средних значений и стандартных ошибок выборки. Проверка согласия.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ind w:firstLine="0"/>
              <w:jc w:val="center"/>
              <w:rPr>
                <w:sz w:val="24"/>
                <w:szCs w:val="24"/>
              </w:rPr>
            </w:pPr>
            <w:r w:rsidRPr="002243CA">
              <w:rPr>
                <w:sz w:val="24"/>
                <w:szCs w:val="24"/>
              </w:rPr>
              <w:t>39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Проверка методом Колмогорова–Смирнова. Графическое представление результатов маркетинговых исследований.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43CA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Основные задачи ассоциативного анализа данных при подготовке маркетинговых решений.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Метод кросс-табуляции. Методы корреляционного и регрессионного анализа.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Маркетинговый анализ сегментов и целевых рынков.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2243CA">
              <w:rPr>
                <w:sz w:val="24"/>
                <w:szCs w:val="24"/>
              </w:rPr>
              <w:t>43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Анализ спроса, оценка рыночного потенциала, текущего размера рынка, уровня проникновения продуктов и марочных товаров.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2243CA">
              <w:rPr>
                <w:sz w:val="24"/>
                <w:szCs w:val="24"/>
              </w:rPr>
              <w:t>44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Исследование сезонных колебаний продаж. Исследования, связанные с разработкой нового продукта.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Исследование ценовой эластичности. Исследование рекламы и стимулирования сбыта. 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Оценка эффективности усилий по продвижению товаров и услуг на рынок.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47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 xml:space="preserve"> Взаимодействие со специализированными организациями в области маркетинговых исследований.</w:t>
            </w:r>
          </w:p>
        </w:tc>
      </w:tr>
      <w:tr w:rsidR="003F7849" w:rsidRPr="002243CA" w:rsidTr="00794E0B">
        <w:tc>
          <w:tcPr>
            <w:tcW w:w="279" w:type="pct"/>
          </w:tcPr>
          <w:p w:rsidR="003F7849" w:rsidRPr="002243CA" w:rsidRDefault="003F7849" w:rsidP="00794E0B">
            <w:pPr>
              <w:tabs>
                <w:tab w:val="left" w:pos="127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243CA"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4721" w:type="pct"/>
          </w:tcPr>
          <w:p w:rsidR="003F7849" w:rsidRPr="002243CA" w:rsidRDefault="003F7849" w:rsidP="00794E0B">
            <w:pPr>
              <w:tabs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bCs/>
                <w:szCs w:val="28"/>
              </w:rPr>
            </w:pPr>
            <w:r w:rsidRPr="002243CA">
              <w:rPr>
                <w:bCs/>
                <w:szCs w:val="28"/>
              </w:rPr>
              <w:t>Назначение маркетингового отчета. Письменный отчет. Устный отчет (презентация отчета). Графическое представление отчета. Критерии представления отчета.</w:t>
            </w:r>
          </w:p>
        </w:tc>
      </w:tr>
    </w:tbl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0"/>
    <w:rsid w:val="000025B6"/>
    <w:rsid w:val="00011843"/>
    <w:rsid w:val="00023207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3F7849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110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49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849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49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849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2015-11-26T11:10:00Z</dcterms:created>
  <dcterms:modified xsi:type="dcterms:W3CDTF">2015-11-26T12:04:00Z</dcterms:modified>
</cp:coreProperties>
</file>